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4DB7" w14:textId="77777777" w:rsidR="003E50DF" w:rsidRDefault="003E50DF" w:rsidP="003E50DF">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Shoseien Garden</w:t>
      </w:r>
    </w:p>
    <w:p w14:paraId="48F842EA" w14:textId="77777777" w:rsidR="003E50DF" w:rsidRDefault="003E50DF" w:rsidP="003E50DF">
      <w:pPr>
        <w:rPr>
          <w:rFonts w:ascii="Times New Roman" w:eastAsia="ＭＳ 明朝" w:hAnsi="Times New Roman" w:cs="Times New Roman"/>
          <w:sz w:val="24"/>
          <w:szCs w:val="24"/>
        </w:rPr>
      </w:pPr>
    </w:p>
    <w:p w14:paraId="772BF840" w14:textId="77777777" w:rsidR="003E50DF" w:rsidRDefault="003E50DF" w:rsidP="003E50DF">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Shoseien Garden traditionally served as a retirement residence for head priests of Higashi Honganji Temple, to which the garden belongs. The estate was originally constructed in the mid-seventeenth century on land donated to the temple by shogun Tokugawa Iemitsu (1604–1651). It was designed by the classical scholar, poet, and calligrapher Ishikawa Jozan (1583–1672), whose name for the garden comes from a work by the Chinese poet Tao Yuanming (365–427).</w:t>
      </w:r>
    </w:p>
    <w:p w14:paraId="6CDFA902" w14:textId="77777777" w:rsidR="003E50DF" w:rsidRDefault="003E50DF" w:rsidP="003E50DF">
      <w:pPr>
        <w:rPr>
          <w:rFonts w:ascii="Times New Roman" w:eastAsia="ＭＳ 明朝" w:hAnsi="Times New Roman" w:cs="Times New Roman"/>
          <w:sz w:val="24"/>
          <w:szCs w:val="24"/>
          <w:lang w:val="en"/>
        </w:rPr>
      </w:pPr>
    </w:p>
    <w:p w14:paraId="5B639202" w14:textId="77777777" w:rsidR="003E50DF" w:rsidRDefault="003E50DF" w:rsidP="003E50DF">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eight-acre grounds center on a pond and feature a number of carefully composed views. Some of the views incorporate elements of the landscape beyond the walls and can be enjoyed from the walking paths that crisscross the garden. In addition to the former residential quarters, the buildings in the garden include teahouses and reception facilities. Serving as a venue for entertaining guests visiting Higashi Honganji is a traditional function of Shoseien that continues today.</w:t>
      </w:r>
    </w:p>
    <w:p w14:paraId="15E5404E" w14:textId="77777777" w:rsidR="003E50DF" w:rsidRDefault="003E50DF" w:rsidP="003E50DF">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ab/>
      </w:r>
      <w:r>
        <w:rPr>
          <w:rFonts w:ascii="Times New Roman" w:eastAsia="ＭＳ 明朝" w:hAnsi="Times New Roman" w:cs="Times New Roman"/>
          <w:sz w:val="24"/>
          <w:szCs w:val="24"/>
          <w:lang w:val="en"/>
        </w:rPr>
        <w:tab/>
      </w:r>
      <w:r>
        <w:rPr>
          <w:rFonts w:ascii="Times New Roman" w:eastAsia="ＭＳ 明朝" w:hAnsi="Times New Roman" w:cs="Times New Roman"/>
          <w:sz w:val="24"/>
          <w:szCs w:val="24"/>
          <w:lang w:val="en"/>
        </w:rPr>
        <w:tab/>
      </w:r>
      <w:r>
        <w:rPr>
          <w:rFonts w:ascii="Times New Roman" w:eastAsia="ＭＳ 明朝" w:hAnsi="Times New Roman" w:cs="Times New Roman"/>
          <w:sz w:val="24"/>
          <w:szCs w:val="24"/>
          <w:lang w:val="en"/>
        </w:rPr>
        <w:tab/>
      </w:r>
      <w:r>
        <w:rPr>
          <w:rFonts w:ascii="Times New Roman" w:eastAsia="ＭＳ 明朝" w:hAnsi="Times New Roman" w:cs="Times New Roman"/>
          <w:sz w:val="24"/>
          <w:szCs w:val="24"/>
          <w:lang w:val="en"/>
        </w:rPr>
        <w:tab/>
      </w:r>
      <w:r>
        <w:rPr>
          <w:rFonts w:ascii="Times New Roman" w:eastAsia="ＭＳ 明朝" w:hAnsi="Times New Roman" w:cs="Times New Roman"/>
          <w:sz w:val="24"/>
          <w:szCs w:val="24"/>
          <w:lang w:val="en"/>
        </w:rPr>
        <w:tab/>
      </w:r>
      <w:r>
        <w:rPr>
          <w:rFonts w:ascii="Times New Roman" w:eastAsia="ＭＳ 明朝" w:hAnsi="Times New Roman" w:cs="Times New Roman"/>
          <w:sz w:val="24"/>
          <w:szCs w:val="24"/>
          <w:lang w:val="en"/>
        </w:rPr>
        <w:tab/>
      </w:r>
      <w:r>
        <w:rPr>
          <w:rFonts w:ascii="Times New Roman" w:eastAsia="ＭＳ 明朝" w:hAnsi="Times New Roman" w:cs="Times New Roman"/>
          <w:sz w:val="24"/>
          <w:szCs w:val="24"/>
          <w:lang w:val="en"/>
        </w:rPr>
        <w:tab/>
      </w:r>
      <w:r>
        <w:rPr>
          <w:rFonts w:ascii="Times New Roman" w:eastAsia="ＭＳ 明朝" w:hAnsi="Times New Roman" w:cs="Times New Roman"/>
          <w:sz w:val="24"/>
          <w:szCs w:val="24"/>
          <w:lang w:val="en"/>
        </w:rPr>
        <w:tab/>
      </w:r>
      <w:r>
        <w:rPr>
          <w:rFonts w:ascii="Times New Roman" w:eastAsia="ＭＳ 明朝" w:hAnsi="Times New Roman" w:cs="Times New Roman"/>
          <w:sz w:val="24"/>
          <w:szCs w:val="24"/>
          <w:lang w:val="en"/>
        </w:rPr>
        <w:tab/>
      </w:r>
    </w:p>
    <w:p w14:paraId="16E0A131" w14:textId="77777777" w:rsidR="003E50DF" w:rsidRDefault="003E50DF" w:rsidP="003E50DF">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garden has been destroyed by fire several times over the centuries, most recently in 1864. Its current configuration and most of the buildings are the result of rebuilding completed in the 1890s. Shoseien was designated a Place of Scenic Beauty by the Japanese government in 1936, and has more recently been noted for its diversity of plant and animal life. The grounds provide a habitat for several species of birds, butterflies, and dragonflies, as well as rare plants such as </w:t>
      </w:r>
      <w:r>
        <w:rPr>
          <w:rFonts w:ascii="Times New Roman" w:eastAsia="ＭＳ 明朝" w:hAnsi="Times New Roman" w:cs="Times New Roman"/>
          <w:i/>
          <w:sz w:val="24"/>
          <w:szCs w:val="24"/>
          <w:lang w:val="en"/>
        </w:rPr>
        <w:t>mizuaoi</w:t>
      </w:r>
      <w:r>
        <w:rPr>
          <w:rFonts w:ascii="Times New Roman" w:eastAsia="ＭＳ 明朝" w:hAnsi="Times New Roman" w:cs="Times New Roman"/>
          <w:sz w:val="24"/>
          <w:szCs w:val="24"/>
          <w:lang w:val="en"/>
        </w:rPr>
        <w:t xml:space="preserve"> (</w:t>
      </w:r>
      <w:r>
        <w:rPr>
          <w:rFonts w:ascii="Times New Roman" w:eastAsia="ＭＳ 明朝" w:hAnsi="Times New Roman" w:cs="Times New Roman"/>
          <w:i/>
          <w:sz w:val="24"/>
          <w:szCs w:val="24"/>
          <w:lang w:val="en"/>
        </w:rPr>
        <w:t>Monochoria korsakowii</w:t>
      </w:r>
      <w:r>
        <w:rPr>
          <w:rFonts w:ascii="Times New Roman" w:eastAsia="ＭＳ 明朝" w:hAnsi="Times New Roman" w:cs="Times New Roman"/>
          <w:sz w:val="24"/>
          <w:szCs w:val="24"/>
          <w:lang w:val="en"/>
        </w:rPr>
        <w:t>), a type of water hyacinth with bluish-purple flowers that bloom in autumn.</w:t>
      </w:r>
    </w:p>
    <w:p w14:paraId="633B71C5" w14:textId="320CAD5A" w:rsidR="008D2586" w:rsidRPr="003E50DF" w:rsidRDefault="008D2586" w:rsidP="003E50DF"/>
    <w:sectPr w:rsidR="008D2586" w:rsidRPr="003E50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3E50DF"/>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43925842">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