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3503" w14:textId="77777777" w:rsidR="00A46CB2" w:rsidRDefault="00A46CB2" w:rsidP="00A46CB2">
      <w:pPr>
        <w:tabs>
          <w:tab w:val="left" w:pos="284"/>
        </w:tabs>
        <w:jc w:val="left"/>
        <w:rPr>
          <w:rFonts w:eastAsia="Times New Roman" w:cs="Times New Roman"/>
          <w:b/>
          <w:bCs/>
          <w:color w:val="000000"/>
          <w:sz w:val="24"/>
          <w:szCs w:val="24"/>
          <w:bdr w:val="none" w:sz="0" w:space="0" w:color="auto" w:frame="1"/>
          <w:lang w:val="en-US"/>
          <w14:textOutline w14:w="0" w14:cap="flat" w14:cmpd="sng" w14:algn="ctr">
            <w14:noFill/>
            <w14:prstDash w14:val="solid"/>
            <w14:bevel/>
          </w14:textOutline>
        </w:rPr>
      </w:pPr>
      <w:r>
        <w:rPr>
          <w:rFonts w:eastAsia="Century" w:cs="Century"/>
          <w:b/>
          <w:bCs/>
          <w:color w:val="000000"/>
          <w:sz w:val="24"/>
          <w:szCs w:val="24"/>
          <w:bdr w:val="none" w:sz="0" w:space="0" w:color="auto" w:frame="1"/>
          <w:lang w:val="en-US"/>
          <w14:textOutline w14:w="0" w14:cap="flat" w14:cmpd="sng" w14:algn="ctr">
            <w14:noFill/>
            <w14:prstDash w14:val="solid"/>
            <w14:bevel/>
          </w14:textOutline>
        </w:rPr>
        <w:t>Stone Lanterns</w:t>
      </w:r>
    </w:p>
    <w:p w14:paraId="5F2A61DF" w14:textId="77777777" w:rsidR="00A46CB2" w:rsidRDefault="00A46CB2" w:rsidP="00A46CB2">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 xml:space="preserve">More than 600 stone lanterns line the paths around Sumiyoshi Taisha. Almost all were donated by merchants or business associations, a practice that became popular in the early eighteenth century. The custom-made lanterns, each engraved with the names of </w:t>
      </w:r>
      <w:r>
        <w:rPr>
          <w:rFonts w:eastAsia="Century" w:cs="Century"/>
          <w:color w:val="000000"/>
          <w:sz w:val="24"/>
          <w:szCs w:val="24"/>
          <w:bdr w:val="none" w:sz="0" w:space="0" w:color="auto" w:frame="1"/>
          <w:lang w:val="en-US"/>
          <w14:textOutline w14:w="0" w14:cap="flat" w14:cmpd="sng" w14:algn="ctr">
            <w14:noFill/>
            <w14:prstDash w14:val="solid"/>
            <w14:bevel/>
          </w14:textOutline>
        </w:rPr>
        <w:t>its</w:t>
      </w:r>
      <w:r>
        <w:rPr>
          <w:color w:val="000000"/>
          <w:sz w:val="24"/>
          <w:szCs w:val="24"/>
          <w:bdr w:val="none" w:sz="0" w:space="0" w:color="auto" w:frame="1"/>
          <w:lang w:val="en-US"/>
          <w14:textOutline w14:w="0" w14:cap="flat" w14:cmpd="sng" w14:algn="ctr">
            <w14:noFill/>
            <w14:prstDash w14:val="solid"/>
            <w14:bevel/>
          </w14:textOutline>
        </w:rPr>
        <w:t xml:space="preserve"> donors, were </w:t>
      </w:r>
      <w:r>
        <w:rPr>
          <w:rFonts w:eastAsia="Century" w:cs="Century"/>
          <w:color w:val="000000"/>
          <w:sz w:val="24"/>
          <w:szCs w:val="24"/>
          <w:bdr w:val="none" w:sz="0" w:space="0" w:color="auto" w:frame="1"/>
          <w:lang w:val="en-US"/>
          <w14:textOutline w14:w="0" w14:cap="flat" w14:cmpd="sng" w14:algn="ctr">
            <w14:noFill/>
            <w14:prstDash w14:val="solid"/>
            <w14:bevel/>
          </w14:textOutline>
        </w:rPr>
        <w:t>intended</w:t>
      </w:r>
      <w:r>
        <w:rPr>
          <w:color w:val="000000"/>
          <w:sz w:val="24"/>
          <w:szCs w:val="24"/>
          <w:bdr w:val="none" w:sz="0" w:space="0" w:color="auto" w:frame="1"/>
          <w:lang w:val="en-US"/>
          <w14:textOutline w14:w="0" w14:cap="flat" w14:cmpd="sng" w14:algn="ctr">
            <w14:noFill/>
            <w14:prstDash w14:val="solid"/>
            <w14:bevel/>
          </w14:textOutline>
        </w:rPr>
        <w:t xml:space="preserve"> to win the favor of Sumiyoshi’s </w:t>
      </w:r>
      <w:r>
        <w:rPr>
          <w:rFonts w:eastAsia="Century" w:cs="Century"/>
          <w:color w:val="000000"/>
          <w:sz w:val="24"/>
          <w:szCs w:val="24"/>
          <w:bdr w:val="none" w:sz="0" w:space="0" w:color="auto" w:frame="1"/>
          <w:lang w:val="en-US"/>
          <w14:textOutline w14:w="0" w14:cap="flat" w14:cmpd="sng" w14:algn="ctr">
            <w14:noFill/>
            <w14:prstDash w14:val="solid"/>
            <w14:bevel/>
          </w14:textOutline>
        </w:rPr>
        <w:t>deities</w:t>
      </w:r>
      <w:r>
        <w:rPr>
          <w:color w:val="000000"/>
          <w:sz w:val="24"/>
          <w:szCs w:val="24"/>
          <w:bdr w:val="none" w:sz="0" w:space="0" w:color="auto" w:frame="1"/>
          <w:lang w:val="en-US"/>
          <w14:textOutline w14:w="0" w14:cap="flat" w14:cmpd="sng" w14:algn="ctr">
            <w14:noFill/>
            <w14:prstDash w14:val="solid"/>
            <w14:bevel/>
          </w14:textOutline>
        </w:rPr>
        <w:t xml:space="preserve"> and to advertise the donors’ businesses.</w:t>
      </w:r>
    </w:p>
    <w:p w14:paraId="77F9812C" w14:textId="77777777" w:rsidR="00A46CB2" w:rsidRDefault="00A46CB2" w:rsidP="00A46CB2">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ab/>
      </w:r>
      <w:r>
        <w:rPr>
          <w:rFonts w:eastAsia="Times New Roman" w:cs="Times New Roman"/>
          <w:color w:val="000000"/>
          <w:sz w:val="24"/>
          <w:szCs w:val="24"/>
          <w:bdr w:val="none" w:sz="0" w:space="0" w:color="auto" w:frame="1"/>
          <w:lang w:val="en-US"/>
          <w14:textOutline w14:w="0" w14:cap="flat" w14:cmpd="sng" w14:algn="ctr">
            <w14:noFill/>
            <w14:prstDash w14:val="solid"/>
            <w14:bevel/>
          </w14:textOutline>
        </w:rPr>
        <w:t>T</w:t>
      </w:r>
      <w:r>
        <w:rPr>
          <w:rFonts w:eastAsia="Century" w:cs="Century"/>
          <w:color w:val="000000"/>
          <w:sz w:val="24"/>
          <w:szCs w:val="24"/>
          <w:bdr w:val="none" w:sz="0" w:space="0" w:color="auto" w:frame="1"/>
          <w:lang w:val="en-US"/>
          <w14:textOutline w14:w="0" w14:cap="flat" w14:cmpd="sng" w14:algn="ctr">
            <w14:noFill/>
            <w14:prstDash w14:val="solid"/>
            <w14:bevel/>
          </w14:textOutline>
        </w:rPr>
        <w:t>he names inscribed on the lanterns represent a</w:t>
      </w:r>
      <w:r>
        <w:rPr>
          <w:color w:val="000000"/>
          <w:sz w:val="24"/>
          <w:szCs w:val="24"/>
          <w:bdr w:val="none" w:sz="0" w:space="0" w:color="auto" w:frame="1"/>
          <w:lang w:val="en-US"/>
          <w14:textOutline w14:w="0" w14:cap="flat" w14:cmpd="sng" w14:algn="ctr">
            <w14:noFill/>
            <w14:prstDash w14:val="solid"/>
            <w14:bevel/>
          </w14:textOutline>
        </w:rPr>
        <w:t xml:space="preserve"> wide range of industries</w:t>
      </w:r>
      <w:r>
        <w:rPr>
          <w:rFonts w:eastAsia="Century" w:cs="Century"/>
          <w:color w:val="000000"/>
          <w:sz w:val="24"/>
          <w:szCs w:val="24"/>
          <w:bdr w:val="none" w:sz="0" w:space="0" w:color="auto" w:frame="1"/>
          <w:lang w:val="en-US"/>
          <w14:textOutline w14:w="0" w14:cap="flat" w14:cmpd="sng" w14:algn="ctr">
            <w14:noFill/>
            <w14:prstDash w14:val="solid"/>
            <w14:bevel/>
          </w14:textOutline>
        </w:rPr>
        <w:t>, including</w:t>
      </w:r>
      <w:r>
        <w:rPr>
          <w:color w:val="000000"/>
          <w:sz w:val="24"/>
          <w:szCs w:val="24"/>
          <w:bdr w:val="none" w:sz="0" w:space="0" w:color="auto" w:frame="1"/>
          <w:lang w:val="en-US"/>
          <w14:textOutline w14:w="0" w14:cap="flat" w14:cmpd="sng" w14:algn="ctr">
            <w14:noFill/>
            <w14:prstDash w14:val="solid"/>
            <w14:bevel/>
          </w14:textOutline>
        </w:rPr>
        <w:t xml:space="preserve"> indigo dye, fertilizer, and glass</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manufacturers; safflower</w:t>
      </w:r>
      <w:r>
        <w:rPr>
          <w:color w:val="000000"/>
          <w:sz w:val="24"/>
          <w:szCs w:val="24"/>
          <w:bdr w:val="none" w:sz="0" w:space="0" w:color="auto" w:frame="1"/>
          <w:lang w:val="en-US"/>
          <w14:textOutline w14:w="0" w14:cap="flat" w14:cmpd="sng" w14:algn="ctr">
            <w14:noFill/>
            <w14:prstDash w14:val="solid"/>
            <w14:bevel/>
          </w14:textOutline>
        </w:rPr>
        <w:t xml:space="preserve"> wholesalers; and dealers in used clothing and toys. About half the donors are in businesses related to the sea, such as fishing or shipping</w:t>
      </w:r>
      <w:r>
        <w:rPr>
          <w:rFonts w:eastAsia="Century" w:cs="Century"/>
          <w:color w:val="000000"/>
          <w:sz w:val="24"/>
          <w:szCs w:val="24"/>
          <w:bdr w:val="none" w:sz="0" w:space="0" w:color="auto" w:frame="1"/>
          <w:lang w:val="en-US"/>
          <w14:textOutline w14:w="0" w14:cap="flat" w14:cmpd="sng" w14:algn="ctr">
            <w14:noFill/>
            <w14:prstDash w14:val="solid"/>
            <w14:bevel/>
          </w14:textOutline>
        </w:rPr>
        <w:t>.</w:t>
      </w:r>
      <w:r>
        <w:rPr>
          <w:color w:val="000000"/>
          <w:sz w:val="24"/>
          <w:szCs w:val="24"/>
          <w:bdr w:val="none" w:sz="0" w:space="0" w:color="auto" w:frame="1"/>
          <w:lang w:val="en-US"/>
          <w14:textOutline w14:w="0" w14:cap="flat" w14:cmpd="sng" w14:algn="ctr">
            <w14:noFill/>
            <w14:prstDash w14:val="solid"/>
            <w14:bevel/>
          </w14:textOutline>
        </w:rPr>
        <w:t xml:space="preserve"> The shrine was built on the </w:t>
      </w:r>
      <w:r>
        <w:rPr>
          <w:rFonts w:eastAsia="Century" w:cs="Century"/>
          <w:color w:val="000000"/>
          <w:sz w:val="24"/>
          <w:szCs w:val="24"/>
          <w:bdr w:val="none" w:sz="0" w:space="0" w:color="auto" w:frame="1"/>
          <w:lang w:val="en-US"/>
          <w14:textOutline w14:w="0" w14:cap="flat" w14:cmpd="sng" w14:algn="ctr">
            <w14:noFill/>
            <w14:prstDash w14:val="solid"/>
            <w14:bevel/>
          </w14:textOutline>
        </w:rPr>
        <w:t>coast</w:t>
      </w:r>
      <w:r>
        <w:rPr>
          <w:color w:val="000000"/>
          <w:sz w:val="24"/>
          <w:szCs w:val="24"/>
          <w:bdr w:val="none" w:sz="0" w:space="0" w:color="auto" w:frame="1"/>
          <w:lang w:val="en-US"/>
          <w14:textOutline w14:w="0" w14:cap="flat" w14:cmpd="sng" w14:algn="ctr">
            <w14:noFill/>
            <w14:prstDash w14:val="solid"/>
            <w14:bevel/>
          </w14:textOutline>
        </w:rPr>
        <w:t xml:space="preserve">—for centuries, Osaka Bay lay just beyond its western gate—and people whose livelihoods depend on the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sea </w:t>
      </w:r>
      <w:r>
        <w:rPr>
          <w:color w:val="000000"/>
          <w:sz w:val="24"/>
          <w:szCs w:val="24"/>
          <w:bdr w:val="none" w:sz="0" w:space="0" w:color="auto" w:frame="1"/>
          <w:lang w:val="en-US"/>
          <w14:textOutline w14:w="0" w14:cap="flat" w14:cmpd="sng" w14:algn="ctr">
            <w14:noFill/>
            <w14:prstDash w14:val="solid"/>
            <w14:bevel/>
          </w14:textOutline>
        </w:rPr>
        <w:t xml:space="preserve">have long sought its blessings. </w:t>
      </w:r>
      <w:r>
        <w:rPr>
          <w:rFonts w:eastAsia="Century" w:cs="Century"/>
          <w:color w:val="000000"/>
          <w:sz w:val="24"/>
          <w:szCs w:val="24"/>
          <w:bdr w:val="none" w:sz="0" w:space="0" w:color="auto" w:frame="1"/>
          <w:lang w:val="en-US"/>
          <w14:textOutline w14:w="0" w14:cap="flat" w14:cmpd="sng" w14:algn="ctr">
            <w14:noFill/>
            <w14:prstDash w14:val="solid"/>
            <w14:bevel/>
          </w14:textOutline>
        </w:rPr>
        <w:t>Nearby Naniwa</w:t>
      </w:r>
      <w:r>
        <w:rPr>
          <w:color w:val="000000"/>
          <w:sz w:val="24"/>
          <w:szCs w:val="24"/>
          <w:bdr w:val="none" w:sz="0" w:space="0" w:color="auto" w:frame="1"/>
          <w:lang w:val="en-US"/>
          <w14:textOutline w14:w="0" w14:cap="flat" w14:cmpd="sng" w14:algn="ctr">
            <w14:noFill/>
            <w14:prstDash w14:val="solid"/>
            <w14:bevel/>
          </w14:textOutline>
        </w:rPr>
        <w:t xml:space="preserve"> harbor connected the Kansai region, including the old imperial capitals of Nara and Kyoto, with the Seto Inland Sea and beyond. Between the seventh and ninth centuries, it was the departure point for trade and diplomatic missions to China. Later, in the Edo period (1603–1867), it anchored an important domestic trade route to the Sea of Japan</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and Hokkaido</w:t>
      </w:r>
      <w:r>
        <w:rPr>
          <w:color w:val="000000"/>
          <w:sz w:val="24"/>
          <w:szCs w:val="24"/>
          <w:bdr w:val="none" w:sz="0" w:space="0" w:color="auto" w:frame="1"/>
          <w:lang w:val="en-US"/>
          <w14:textOutline w14:w="0" w14:cap="flat" w14:cmpd="sng" w14:algn="ctr">
            <w14:noFill/>
            <w14:prstDash w14:val="solid"/>
            <w14:bevel/>
          </w14:textOutline>
        </w:rPr>
        <w:t>.</w:t>
      </w:r>
    </w:p>
    <w:p w14:paraId="39DD7B08" w14:textId="77777777" w:rsidR="00A46CB2" w:rsidRDefault="00A46CB2" w:rsidP="00A46CB2">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ab/>
      </w:r>
      <w:r>
        <w:rPr>
          <w:rFonts w:eastAsia="Century" w:cs="Century"/>
          <w:color w:val="000000"/>
          <w:sz w:val="24"/>
          <w:szCs w:val="24"/>
          <w:bdr w:val="none" w:sz="0" w:space="0" w:color="auto" w:frame="1"/>
          <w:lang w:val="en-US"/>
          <w14:textOutline w14:w="0" w14:cap="flat" w14:cmpd="sng" w14:algn="ctr">
            <w14:noFill/>
            <w14:prstDash w14:val="solid"/>
            <w14:bevel/>
          </w14:textOutline>
        </w:rPr>
        <w:t>Merchants involved in the Sea of Japan trade donated many</w:t>
      </w:r>
      <w:r>
        <w:rPr>
          <w:color w:val="000000"/>
          <w:sz w:val="24"/>
          <w:szCs w:val="24"/>
          <w:bdr w:val="none" w:sz="0" w:space="0" w:color="auto" w:frame="1"/>
          <w:lang w:val="en-US"/>
          <w14:textOutline w14:w="0" w14:cap="flat" w14:cmpd="sng" w14:algn="ctr">
            <w14:noFill/>
            <w14:prstDash w14:val="solid"/>
            <w14:bevel/>
          </w14:textOutline>
        </w:rPr>
        <w:t xml:space="preserve"> of the stone lanterns on the grounds</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Their </w:t>
      </w:r>
      <w:r>
        <w:rPr>
          <w:rFonts w:eastAsia="Century" w:cs="Century"/>
          <w:i/>
          <w:iCs/>
          <w:color w:val="000000"/>
          <w:sz w:val="24"/>
          <w:szCs w:val="24"/>
          <w:bdr w:val="none" w:sz="0" w:space="0" w:color="auto" w:frame="1"/>
          <w:lang w:val="en-US"/>
          <w14:textOutline w14:w="0" w14:cap="flat" w14:cmpd="sng" w14:algn="ctr">
            <w14:noFill/>
            <w14:prstDash w14:val="solid"/>
            <w14:bevel/>
          </w14:textOutline>
        </w:rPr>
        <w:t>kitamaebune</w:t>
      </w:r>
      <w:r>
        <w:rPr>
          <w:i/>
          <w:color w:val="000000"/>
          <w:sz w:val="24"/>
          <w:szCs w:val="24"/>
          <w:bdr w:val="none" w:sz="0" w:space="0" w:color="auto" w:frame="1"/>
          <w:lang w:val="en-US"/>
          <w14:textOutline w14:w="0" w14:cap="flat" w14:cmpd="sng" w14:algn="ctr">
            <w14:noFill/>
            <w14:prstDash w14:val="solid"/>
            <w14:bevel/>
          </w14:textOutline>
        </w:rPr>
        <w:t xml:space="preserve"> </w:t>
      </w:r>
      <w:r>
        <w:rPr>
          <w:color w:val="000000"/>
          <w:sz w:val="24"/>
          <w:szCs w:val="24"/>
          <w:bdr w:val="none" w:sz="0" w:space="0" w:color="auto" w:frame="1"/>
          <w:lang w:val="en-US"/>
          <w14:textOutline w14:w="0" w14:cap="flat" w14:cmpd="sng" w14:algn="ctr">
            <w14:noFill/>
            <w14:prstDash w14:val="solid"/>
            <w14:bevel/>
          </w14:textOutline>
        </w:rPr>
        <w:t>(literally</w:t>
      </w:r>
      <w:r>
        <w:rPr>
          <w:rFonts w:eastAsia="Century" w:cs="Century"/>
          <w:color w:val="000000"/>
          <w:sz w:val="24"/>
          <w:szCs w:val="24"/>
          <w:bdr w:val="none" w:sz="0" w:space="0" w:color="auto" w:frame="1"/>
          <w:lang w:val="en-US"/>
          <w14:textOutline w14:w="0" w14:cap="flat" w14:cmpd="sng" w14:algn="ctr">
            <w14:noFill/>
            <w14:prstDash w14:val="solid"/>
            <w14:bevel/>
          </w14:textOutline>
        </w:rPr>
        <w:t>,</w:t>
      </w:r>
      <w:r>
        <w:rPr>
          <w:color w:val="000000"/>
          <w:sz w:val="24"/>
          <w:szCs w:val="24"/>
          <w:bdr w:val="none" w:sz="0" w:space="0" w:color="auto" w:frame="1"/>
          <w:lang w:val="en-US"/>
          <w14:textOutline w14:w="0" w14:cap="flat" w14:cmpd="sng" w14:algn="ctr">
            <w14:noFill/>
            <w14:prstDash w14:val="solid"/>
            <w14:bevel/>
          </w14:textOutline>
        </w:rPr>
        <w:t xml:space="preserve"> “north-bound ships”)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sailed </w:t>
      </w:r>
      <w:r>
        <w:rPr>
          <w:color w:val="000000"/>
          <w:sz w:val="24"/>
          <w:szCs w:val="24"/>
          <w:bdr w:val="none" w:sz="0" w:space="0" w:color="auto" w:frame="1"/>
          <w:lang w:val="en-US"/>
          <w14:textOutline w14:w="0" w14:cap="flat" w14:cmpd="sng" w14:algn="ctr">
            <w14:noFill/>
            <w14:prstDash w14:val="solid"/>
            <w14:bevel/>
          </w14:textOutline>
        </w:rPr>
        <w:t xml:space="preserve">through the Seto Inland Sea and up the Japan Sea coast to Hokkaido, trading goods at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ports along the way. At its peak in the nineteenth </w:t>
      </w:r>
      <w:r>
        <w:rPr>
          <w:color w:val="000000"/>
          <w:sz w:val="24"/>
          <w:szCs w:val="24"/>
          <w:bdr w:val="none" w:sz="0" w:space="0" w:color="auto" w:frame="1"/>
          <w:lang w:val="en-US"/>
          <w14:textOutline w14:w="0" w14:cap="flat" w14:cmpd="sng" w14:algn="ctr">
            <w14:noFill/>
            <w14:prstDash w14:val="solid"/>
            <w14:bevel/>
          </w14:textOutline>
        </w:rPr>
        <w:t xml:space="preserve">and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early twentieth centuries, this trade </w:t>
      </w:r>
      <w:r>
        <w:rPr>
          <w:color w:val="000000"/>
          <w:sz w:val="24"/>
          <w:szCs w:val="24"/>
          <w:bdr w:val="none" w:sz="0" w:space="0" w:color="auto" w:frame="1"/>
          <w:lang w:val="en-US"/>
          <w14:textOutline w14:w="0" w14:cap="flat" w14:cmpd="sng" w14:algn="ctr">
            <w14:noFill/>
            <w14:prstDash w14:val="solid"/>
            <w14:bevel/>
          </w14:textOutline>
        </w:rPr>
        <w:t>helped shape Japan’s economy</w:t>
      </w:r>
      <w:r>
        <w:rPr>
          <w:rFonts w:eastAsia="Century" w:cs="Century"/>
          <w:color w:val="000000"/>
          <w:sz w:val="24"/>
          <w:szCs w:val="24"/>
          <w:bdr w:val="none" w:sz="0" w:space="0" w:color="auto" w:frame="1"/>
          <w:lang w:val="en-US"/>
          <w14:textOutline w14:w="0" w14:cap="flat" w14:cmpd="sng" w14:algn="ctr">
            <w14:noFill/>
            <w14:prstDash w14:val="solid"/>
            <w14:bevel/>
          </w14:textOutline>
        </w:rPr>
        <w:t>,</w:t>
      </w:r>
      <w:r>
        <w:rPr>
          <w:color w:val="000000"/>
          <w:sz w:val="24"/>
          <w:szCs w:val="24"/>
          <w:bdr w:val="none" w:sz="0" w:space="0" w:color="auto" w:frame="1"/>
          <w:lang w:val="en-US"/>
          <w14:textOutline w14:w="0" w14:cap="flat" w14:cmpd="sng" w14:algn="ctr">
            <w14:noFill/>
            <w14:prstDash w14:val="solid"/>
            <w14:bevel/>
          </w14:textOutline>
        </w:rPr>
        <w:t xml:space="preserve"> and </w:t>
      </w:r>
      <w:r>
        <w:rPr>
          <w:rFonts w:eastAsia="Century" w:cs="Century"/>
          <w:color w:val="000000"/>
          <w:sz w:val="24"/>
          <w:szCs w:val="24"/>
          <w:bdr w:val="none" w:sz="0" w:space="0" w:color="auto" w:frame="1"/>
          <w:lang w:val="en-US"/>
          <w14:textOutline w14:w="0" w14:cap="flat" w14:cmpd="sng" w14:algn="ctr">
            <w14:noFill/>
            <w14:prstDash w14:val="solid"/>
            <w14:bevel/>
          </w14:textOutline>
        </w:rPr>
        <w:t>it left</w:t>
      </w:r>
      <w:r>
        <w:rPr>
          <w:color w:val="000000"/>
          <w:sz w:val="24"/>
          <w:szCs w:val="24"/>
          <w:bdr w:val="none" w:sz="0" w:space="0" w:color="auto" w:frame="1"/>
          <w:lang w:val="en-US"/>
          <w14:textOutline w14:w="0" w14:cap="flat" w14:cmpd="sng" w14:algn="ctr">
            <w14:noFill/>
            <w14:prstDash w14:val="solid"/>
            <w14:bevel/>
          </w14:textOutline>
        </w:rPr>
        <w:t xml:space="preserve"> lasting marks on Japanese culture. For example, </w:t>
      </w:r>
      <w:r>
        <w:rPr>
          <w:rFonts w:eastAsia="Century" w:cs="Century"/>
          <w:color w:val="000000"/>
          <w:sz w:val="24"/>
          <w:szCs w:val="24"/>
          <w:bdr w:val="none" w:sz="0" w:space="0" w:color="auto" w:frame="1"/>
          <w:lang w:val="en-US"/>
          <w14:textOutline w14:w="0" w14:cap="flat" w14:cmpd="sng" w14:algn="ctr">
            <w14:noFill/>
            <w14:prstDash w14:val="solid"/>
            <w14:bevel/>
          </w14:textOutline>
        </w:rPr>
        <w:t>traders</w:t>
      </w:r>
      <w:r>
        <w:rPr>
          <w:color w:val="000000"/>
          <w:sz w:val="24"/>
          <w:szCs w:val="24"/>
          <w:bdr w:val="none" w:sz="0" w:space="0" w:color="auto" w:frame="1"/>
          <w:lang w:val="en-US"/>
          <w14:textOutline w14:w="0" w14:cap="flat" w14:cmpd="sng" w14:algn="ctr">
            <w14:noFill/>
            <w14:prstDash w14:val="solid"/>
            <w14:bevel/>
          </w14:textOutline>
        </w:rPr>
        <w:t xml:space="preserve"> brought kelp </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harvested </w:t>
      </w:r>
      <w:r>
        <w:rPr>
          <w:color w:val="000000"/>
          <w:sz w:val="24"/>
          <w:szCs w:val="24"/>
          <w:bdr w:val="none" w:sz="0" w:space="0" w:color="auto" w:frame="1"/>
          <w:lang w:val="en-US"/>
          <w14:textOutline w14:w="0" w14:cap="flat" w14:cmpd="sng" w14:algn="ctr">
            <w14:noFill/>
            <w14:prstDash w14:val="solid"/>
            <w14:bevel/>
          </w14:textOutline>
        </w:rPr>
        <w:t>from the cold waters of Hokkaido back to Osaka, where the city’s cooks embraced its distinctive umami flavor</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creating </w:t>
      </w:r>
      <w:r>
        <w:rPr>
          <w:rFonts w:eastAsia="Century" w:cs="Century"/>
          <w:i/>
          <w:iCs/>
          <w:color w:val="000000"/>
          <w:sz w:val="24"/>
          <w:szCs w:val="24"/>
          <w:bdr w:val="none" w:sz="0" w:space="0" w:color="auto" w:frame="1"/>
          <w:lang w:val="en-US"/>
          <w14:textOutline w14:w="0" w14:cap="flat" w14:cmpd="sng" w14:algn="ctr">
            <w14:noFill/>
            <w14:prstDash w14:val="solid"/>
            <w14:bevel/>
          </w14:textOutline>
        </w:rPr>
        <w:t>kombu dashi</w:t>
      </w:r>
      <w:r>
        <w:rPr>
          <w:rFonts w:eastAsia="Century" w:cs="Century"/>
          <w:color w:val="000000"/>
          <w:sz w:val="24"/>
          <w:szCs w:val="24"/>
          <w:bdr w:val="none" w:sz="0" w:space="0" w:color="auto" w:frame="1"/>
          <w:lang w:val="en-US"/>
          <w14:textOutline w14:w="0" w14:cap="flat" w14:cmpd="sng" w14:algn="ctr">
            <w14:noFill/>
            <w14:prstDash w14:val="solid"/>
            <w14:bevel/>
          </w14:textOutline>
        </w:rPr>
        <w:t>, a kelp stock that is a foundational ingredient in Japanese cuisine</w:t>
      </w:r>
      <w:r>
        <w:rPr>
          <w:color w:val="000000"/>
          <w:sz w:val="24"/>
          <w:szCs w:val="24"/>
          <w:bdr w:val="none" w:sz="0" w:space="0" w:color="auto" w:frame="1"/>
          <w:lang w:val="en-US"/>
          <w14:textOutline w14:w="0" w14:cap="flat" w14:cmpd="sng" w14:algn="ctr">
            <w14:noFill/>
            <w14:prstDash w14:val="solid"/>
            <w14:bevel/>
          </w14:textOutline>
        </w:rPr>
        <w:t>.</w:t>
      </w:r>
    </w:p>
    <w:p w14:paraId="00C5BA1A" w14:textId="77777777" w:rsidR="00A46CB2" w:rsidRDefault="00A46CB2" w:rsidP="00A46CB2">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ab/>
        <w:t>The largest lanterns at Sumiyoshi Taisha were donated not by seafarers</w:t>
      </w:r>
      <w:r>
        <w:rPr>
          <w:rFonts w:eastAsia="Century" w:cs="Century"/>
          <w:color w:val="000000"/>
          <w:sz w:val="24"/>
          <w:szCs w:val="24"/>
          <w:bdr w:val="none" w:sz="0" w:space="0" w:color="auto" w:frame="1"/>
          <w:lang w:val="en-US"/>
          <w14:textOutline w14:w="0" w14:cap="flat" w14:cmpd="sng" w14:algn="ctr">
            <w14:noFill/>
            <w14:prstDash w14:val="solid"/>
            <w14:bevel/>
          </w14:textOutline>
        </w:rPr>
        <w:t>,</w:t>
      </w:r>
      <w:r>
        <w:rPr>
          <w:color w:val="000000"/>
          <w:sz w:val="24"/>
          <w:szCs w:val="24"/>
          <w:bdr w:val="none" w:sz="0" w:space="0" w:color="auto" w:frame="1"/>
          <w:lang w:val="en-US"/>
          <w14:textOutline w14:w="0" w14:cap="flat" w14:cmpd="sng" w14:algn="ctr">
            <w14:noFill/>
            <w14:prstDash w14:val="solid"/>
            <w14:bevel/>
          </w14:textOutline>
        </w:rPr>
        <w:t xml:space="preserve"> but by an association of toy and doll manufacturers. The lanterns stand on the inner side of the canal near Sorihashi, the shrine’s </w:t>
      </w:r>
      <w:r>
        <w:rPr>
          <w:rFonts w:eastAsia="Century" w:cs="Century"/>
          <w:color w:val="000000"/>
          <w:sz w:val="24"/>
          <w:szCs w:val="24"/>
          <w:bdr w:val="none" w:sz="0" w:space="0" w:color="auto" w:frame="1"/>
          <w:lang w:val="en-US"/>
          <w14:textOutline w14:w="0" w14:cap="flat" w14:cmpd="sng" w14:algn="ctr">
            <w14:noFill/>
            <w14:prstDash w14:val="solid"/>
            <w14:bevel/>
          </w14:textOutline>
        </w:rPr>
        <w:t>famous</w:t>
      </w:r>
      <w:r>
        <w:rPr>
          <w:color w:val="000000"/>
          <w:sz w:val="24"/>
          <w:szCs w:val="24"/>
          <w:bdr w:val="none" w:sz="0" w:space="0" w:color="auto" w:frame="1"/>
          <w:lang w:val="en-US"/>
          <w14:textOutline w14:w="0" w14:cap="flat" w14:cmpd="sng" w14:algn="ctr">
            <w14:noFill/>
            <w14:prstDash w14:val="solid"/>
            <w14:bevel/>
          </w14:textOutline>
        </w:rPr>
        <w:t xml:space="preserve"> arched bridge. The lantern to the south of the bridge represents companies from the Osaka area, while the one to the north is for companies from Tokyo and other parts of Japan. Fans of Japanese action figures and other toys will find a few familiar names, such as Bandai Namco Entertainment, alongside many that are obscure or forgotten.</w:t>
      </w:r>
    </w:p>
    <w:p w14:paraId="3C8122E7" w14:textId="77777777" w:rsidR="00A46CB2" w:rsidRDefault="00A46CB2" w:rsidP="00A46CB2">
      <w:pPr>
        <w:tabs>
          <w:tab w:val="left" w:pos="284"/>
        </w:tabs>
        <w:jc w:val="left"/>
        <w:rPr>
          <w:color w:val="000000"/>
          <w:sz w:val="24"/>
          <w:szCs w:val="24"/>
          <w:bdr w:val="none" w:sz="0" w:space="0" w:color="auto" w:frame="1"/>
          <w:lang w:val="en-US"/>
          <w14:textOutline w14:w="0" w14:cap="flat" w14:cmpd="sng" w14:algn="ctr">
            <w14:noFill/>
            <w14:prstDash w14:val="solid"/>
            <w14:bevel/>
          </w14:textOutline>
        </w:rPr>
      </w:pPr>
      <w:r>
        <w:rPr>
          <w:color w:val="000000"/>
          <w:sz w:val="24"/>
          <w:szCs w:val="24"/>
          <w:bdr w:val="none" w:sz="0" w:space="0" w:color="auto" w:frame="1"/>
          <w:lang w:val="en-US"/>
          <w14:textOutline w14:w="0" w14:cap="flat" w14:cmpd="sng" w14:algn="ctr">
            <w14:noFill/>
            <w14:prstDash w14:val="solid"/>
            <w14:bevel/>
          </w14:textOutline>
        </w:rPr>
        <w:tab/>
        <w:t xml:space="preserve">The </w:t>
      </w:r>
      <w:r>
        <w:rPr>
          <w:rFonts w:eastAsia="Times New Roman" w:cs="Times New Roman"/>
          <w:color w:val="000000"/>
          <w:sz w:val="24"/>
          <w:szCs w:val="24"/>
          <w:bdr w:val="none" w:sz="0" w:space="0" w:color="auto" w:frame="1"/>
          <w:lang w:val="en-US"/>
          <w14:textOutline w14:w="0" w14:cap="flat" w14:cmpd="sng" w14:algn="ctr">
            <w14:noFill/>
            <w14:prstDash w14:val="solid"/>
            <w14:bevel/>
          </w14:textOutline>
        </w:rPr>
        <w:t>toy-makers’</w:t>
      </w:r>
      <w:r>
        <w:rPr>
          <w:color w:val="000000"/>
          <w:sz w:val="24"/>
          <w:szCs w:val="24"/>
          <w:bdr w:val="none" w:sz="0" w:space="0" w:color="auto" w:frame="1"/>
          <w:lang w:val="en-US"/>
          <w14:textOutline w14:w="0" w14:cap="flat" w14:cmpd="sng" w14:algn="ctr">
            <w14:noFill/>
            <w14:prstDash w14:val="solid"/>
            <w14:bevel/>
          </w14:textOutline>
        </w:rPr>
        <w:t xml:space="preserve"> lanterns have been refurbished and enlarged many times</w:t>
      </w:r>
      <w:r>
        <w:rPr>
          <w:rFonts w:eastAsia="Century" w:cs="Century"/>
          <w:color w:val="000000"/>
          <w:sz w:val="24"/>
          <w:szCs w:val="24"/>
          <w:bdr w:val="none" w:sz="0" w:space="0" w:color="auto" w:frame="1"/>
          <w:lang w:val="en-US"/>
          <w14:textOutline w14:w="0" w14:cap="flat" w14:cmpd="sng" w14:algn="ctr">
            <w14:noFill/>
            <w14:prstDash w14:val="solid"/>
            <w14:bevel/>
          </w14:textOutline>
        </w:rPr>
        <w:t xml:space="preserve"> since they were first donated in 1762.</w:t>
      </w:r>
      <w:r>
        <w:rPr>
          <w:color w:val="000000"/>
          <w:sz w:val="24"/>
          <w:szCs w:val="24"/>
          <w:bdr w:val="none" w:sz="0" w:space="0" w:color="auto" w:frame="1"/>
          <w:lang w:val="en-US"/>
          <w14:textOutline w14:w="0" w14:cap="flat" w14:cmpd="sng" w14:algn="ctr">
            <w14:noFill/>
            <w14:prstDash w14:val="solid"/>
            <w14:bevel/>
          </w14:textOutline>
        </w:rPr>
        <w:t xml:space="preserve"> On four occasions since 1928, the lanterns have been hoisted up and given new, larger stone bases with room for more donors’ names. The most recent addition</w:t>
      </w:r>
      <w:r>
        <w:rPr>
          <w:rFonts w:eastAsia="Century" w:cs="Century"/>
          <w:color w:val="000000"/>
          <w:sz w:val="24"/>
          <w:szCs w:val="24"/>
          <w:bdr w:val="none" w:sz="0" w:space="0" w:color="auto" w:frame="1"/>
          <w:lang w:val="en-US"/>
          <w14:textOutline w14:w="0" w14:cap="flat" w14:cmpd="sng" w14:algn="ctr">
            <w14:noFill/>
            <w14:prstDash w14:val="solid"/>
            <w14:bevel/>
          </w14:textOutline>
        </w:rPr>
        <w:t>, which</w:t>
      </w:r>
      <w:r>
        <w:rPr>
          <w:color w:val="000000"/>
          <w:sz w:val="24"/>
          <w:szCs w:val="24"/>
          <w:bdr w:val="none" w:sz="0" w:space="0" w:color="auto" w:frame="1"/>
          <w:lang w:val="en-US"/>
          <w14:textOutline w14:w="0" w14:cap="flat" w14:cmpd="sng" w14:algn="ctr">
            <w14:noFill/>
            <w14:prstDash w14:val="solid"/>
            <w14:bevel/>
          </w14:textOutline>
        </w:rPr>
        <w:t xml:space="preserve"> took place in 2020, </w:t>
      </w:r>
      <w:r>
        <w:rPr>
          <w:rFonts w:eastAsia="Century" w:cs="Century"/>
          <w:color w:val="000000"/>
          <w:sz w:val="24"/>
          <w:szCs w:val="24"/>
          <w:bdr w:val="none" w:sz="0" w:space="0" w:color="auto" w:frame="1"/>
          <w:lang w:val="en-US"/>
          <w14:textOutline w14:w="0" w14:cap="flat" w14:cmpd="sng" w14:algn="ctr">
            <w14:noFill/>
            <w14:prstDash w14:val="solid"/>
            <w14:bevel/>
          </w14:textOutline>
        </w:rPr>
        <w:t>marked</w:t>
      </w:r>
      <w:r>
        <w:rPr>
          <w:color w:val="000000"/>
          <w:sz w:val="24"/>
          <w:szCs w:val="24"/>
          <w:bdr w:val="none" w:sz="0" w:space="0" w:color="auto" w:frame="1"/>
          <w:lang w:val="en-US"/>
          <w14:textOutline w14:w="0" w14:cap="flat" w14:cmpd="sng" w14:algn="ctr">
            <w14:noFill/>
            <w14:prstDash w14:val="solid"/>
            <w14:bevel/>
          </w14:textOutline>
        </w:rPr>
        <w:t xml:space="preserve"> the crowning of the new emperor and the start of the Reiwa era. The lanterns now tower </w:t>
      </w:r>
      <w:r>
        <w:rPr>
          <w:rFonts w:eastAsia="Century" w:cs="Century"/>
          <w:color w:val="000000"/>
          <w:sz w:val="24"/>
          <w:szCs w:val="24"/>
          <w:bdr w:val="none" w:sz="0" w:space="0" w:color="auto" w:frame="1"/>
          <w:lang w:val="en-US"/>
          <w14:textOutline w14:w="0" w14:cap="flat" w14:cmpd="sng" w14:algn="ctr">
            <w14:noFill/>
            <w14:prstDash w14:val="solid"/>
            <w14:bevel/>
          </w14:textOutline>
        </w:rPr>
        <w:t>more than</w:t>
      </w:r>
      <w:r>
        <w:rPr>
          <w:color w:val="000000"/>
          <w:sz w:val="24"/>
          <w:szCs w:val="24"/>
          <w:bdr w:val="none" w:sz="0" w:space="0" w:color="auto" w:frame="1"/>
          <w:lang w:val="en-US"/>
          <w14:textOutline w14:w="0" w14:cap="flat" w14:cmpd="sng" w14:algn="ctr">
            <w14:noFill/>
            <w14:prstDash w14:val="solid"/>
            <w14:bevel/>
          </w14:textOutline>
        </w:rPr>
        <w:t xml:space="preserve"> 10 meters above the ground.</w:t>
      </w:r>
    </w:p>
    <w:p w14:paraId="4D957F25" w14:textId="71D4847F" w:rsidR="009D6E22" w:rsidRPr="00A46CB2" w:rsidRDefault="009D6E22" w:rsidP="00A46CB2"/>
    <w:sectPr w:rsidR="009D6E22" w:rsidRPr="00A46C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46CB2"/>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2022-11-15T05:02:00Z</dcterms:created>
  <dcterms:modified xsi:type="dcterms:W3CDTF">2022-11-15T05:02:00Z</dcterms:modified>
</cp:coreProperties>
</file>