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7FE5" w14:textId="77777777" w:rsidR="00130D0F" w:rsidRDefault="00130D0F" w:rsidP="00130D0F">
      <w:pPr>
        <w:jc w:val="both"/>
      </w:pPr>
      <w:r>
        <w:rPr>
          <w:b/>
          <w:color w:val="000000"/>
        </w:rPr>
        <w:t>Shirogane Falls</w:t>
      </w:r>
    </w:p>
    <w:p w14:paraId="54AE3DFF" w14:textId="77777777" w:rsidR="00130D0F" w:rsidRDefault="00130D0F" w:rsidP="00130D0F">
      <w:pPr>
        <w:jc w:val="both"/>
      </w:pPr>
    </w:p>
    <w:p w14:paraId="3B8D3641" w14:textId="77777777" w:rsidR="00130D0F" w:rsidRDefault="00130D0F" w:rsidP="00130D0F">
      <w:pPr>
        <w:jc w:val="both"/>
      </w:pPr>
      <w:r>
        <w:rPr>
          <w:color w:val="000000"/>
        </w:rPr>
        <w:t>The Ginzan River flows through the center of Ginzan Onsen, splitting the compact town in two. Follow the river upstream beyond the town to reach Shirogane Falls.</w:t>
      </w:r>
    </w:p>
    <w:p w14:paraId="3367348E" w14:textId="77777777" w:rsidR="00130D0F" w:rsidRDefault="00130D0F" w:rsidP="00130D0F">
      <w:pPr>
        <w:jc w:val="both"/>
      </w:pPr>
      <w:r>
        <w:rPr>
          <w:color w:val="000000"/>
        </w:rPr>
        <w:t xml:space="preserve"> </w:t>
      </w:r>
    </w:p>
    <w:p w14:paraId="1957F65E" w14:textId="77777777" w:rsidR="00130D0F" w:rsidRDefault="00130D0F" w:rsidP="00130D0F">
      <w:r>
        <w:rPr>
          <w:color w:val="000000"/>
        </w:rPr>
        <w:t>This waterfall has a 22-meter drop, and in summer water also cascades down the moss-covered rocks on the left side of the main drop into the basin below. Visitors can rest beside the pool and enjoy the cooling spray, while the air is filled with the cries of cicadas. A viewing platform opposite the falls offers an ideal vantage for photos, especially in autumn when the surrounding foliage turns crimson and gold. The falls do not freeze in winter despite cold, snowy conditions. For a limited time throughout the year, they are lit up at night, adding a colorful effect to the landscape.</w:t>
      </w:r>
    </w:p>
    <w:p w14:paraId="5E933243" w14:textId="77777777" w:rsidR="00130D0F" w:rsidRDefault="00130D0F" w:rsidP="00130D0F">
      <w:pPr>
        <w:jc w:val="both"/>
      </w:pPr>
      <w:r>
        <w:rPr>
          <w:color w:val="000000"/>
        </w:rPr>
        <w:t xml:space="preserve"> </w:t>
      </w:r>
    </w:p>
    <w:p w14:paraId="4FFC246F" w14:textId="77777777" w:rsidR="00130D0F" w:rsidRDefault="00130D0F" w:rsidP="00130D0F">
      <w:pPr>
        <w:jc w:val="both"/>
      </w:pPr>
      <w:r>
        <w:rPr>
          <w:color w:val="000000"/>
        </w:rPr>
        <w:t>A small shrine, Taki no Fudoson, is dedicated to the guardian deity of Shirogane Falls. It is on the nature trail through Shirogane Park, just beyond the falls.</w:t>
      </w:r>
    </w:p>
    <w:p w14:paraId="4C480000" w14:textId="7D6F428C" w:rsidR="002A0B21" w:rsidRPr="00130D0F" w:rsidRDefault="002A0B21" w:rsidP="00130D0F"/>
    <w:sectPr w:rsidR="002A0B21" w:rsidRPr="00130D0F">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30D0F"/>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5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2022-11-15T06:17:00Z</dcterms:created>
  <dcterms:modified xsi:type="dcterms:W3CDTF">2022-11-15T06:17:00Z</dcterms:modified>
</cp:coreProperties>
</file>