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453A" w14:textId="77777777" w:rsidR="0054468F" w:rsidRDefault="0054468F" w:rsidP="0054468F">
      <w:pPr>
        <w:spacing w:line="0" w:lineRule="atLeast"/>
        <w:jc w:val="left"/>
        <w:rPr>
          <w:rFonts w:ascii="Times New Roman" w:hAnsi="Times New Roman"/>
          <w:sz w:val="24"/>
        </w:rPr>
      </w:pPr>
      <w:r>
        <w:rPr>
          <w:rFonts w:ascii="Times New Roman" w:hAnsi="Times New Roman"/>
          <w:sz w:val="24"/>
        </w:rPr>
        <w:t>Beginning in the latter half of the nineteenth century, Japan underwent a period of rapid industrialization. In the twentieth century, this wave of technological advancement reached Ichinokura in the form of mass production.</w:t>
      </w:r>
    </w:p>
    <w:p w14:paraId="041DBE4E" w14:textId="77777777" w:rsidR="0054468F" w:rsidRDefault="0054468F" w:rsidP="0054468F">
      <w:pPr>
        <w:spacing w:line="0" w:lineRule="atLeast"/>
        <w:ind w:firstLine="284"/>
        <w:jc w:val="left"/>
        <w:rPr>
          <w:rFonts w:ascii="Times New Roman" w:hAnsi="Times New Roman"/>
          <w:sz w:val="24"/>
        </w:rPr>
      </w:pPr>
      <w:r>
        <w:rPr>
          <w:rFonts w:ascii="Times New Roman" w:hAnsi="Times New Roman"/>
          <w:sz w:val="24"/>
        </w:rPr>
        <w:t xml:space="preserve">The use of plaster molds for both pressing and slip-casting were introduced, as were coal- and oil-fired kilns. These advancements allowed potters to mass-produce vessels </w:t>
      </w:r>
      <w:r>
        <w:rPr>
          <w:rFonts w:ascii="Times New Roman" w:hAnsi="Times New Roman" w:cs="Times New Roman"/>
          <w:sz w:val="24"/>
          <w:szCs w:val="24"/>
        </w:rPr>
        <w:t xml:space="preserve">using molds </w:t>
      </w:r>
      <w:r>
        <w:rPr>
          <w:rFonts w:ascii="Times New Roman" w:hAnsi="Times New Roman"/>
          <w:sz w:val="24"/>
        </w:rPr>
        <w:t xml:space="preserve">and fire them </w:t>
      </w:r>
      <w:r>
        <w:rPr>
          <w:rFonts w:ascii="Times New Roman" w:hAnsi="Times New Roman" w:cs="Times New Roman"/>
          <w:sz w:val="24"/>
          <w:szCs w:val="24"/>
        </w:rPr>
        <w:t>more quickly</w:t>
      </w:r>
      <w:r>
        <w:rPr>
          <w:rFonts w:ascii="Times New Roman" w:hAnsi="Times New Roman"/>
          <w:sz w:val="24"/>
        </w:rPr>
        <w:t>. Copper</w:t>
      </w:r>
      <w:r>
        <w:rPr>
          <w:rFonts w:ascii="Times New Roman" w:hAnsi="Times New Roman" w:cs="Times New Roman"/>
          <w:sz w:val="24"/>
          <w:szCs w:val="24"/>
        </w:rPr>
        <w:t>-</w:t>
      </w:r>
      <w:r>
        <w:rPr>
          <w:rFonts w:ascii="Times New Roman" w:hAnsi="Times New Roman"/>
          <w:sz w:val="24"/>
        </w:rPr>
        <w:t xml:space="preserve">plate transfer and stamping techniques became common </w:t>
      </w:r>
      <w:r>
        <w:rPr>
          <w:rFonts w:ascii="Times New Roman" w:hAnsi="Times New Roman" w:cs="Times New Roman"/>
          <w:sz w:val="24"/>
          <w:szCs w:val="24"/>
        </w:rPr>
        <w:t>methods</w:t>
      </w:r>
      <w:r>
        <w:rPr>
          <w:rFonts w:ascii="Times New Roman" w:hAnsi="Times New Roman"/>
          <w:sz w:val="24"/>
        </w:rPr>
        <w:t xml:space="preserve"> of adding decoration, and new glazes were developed as well. Previously, pigments were largely derived from just three minerals: copper, iron, and cobalt. </w:t>
      </w:r>
      <w:r>
        <w:rPr>
          <w:rFonts w:ascii="Times New Roman" w:hAnsi="Times New Roman" w:cs="Times New Roman"/>
          <w:sz w:val="24"/>
          <w:szCs w:val="24"/>
        </w:rPr>
        <w:t>Through</w:t>
      </w:r>
      <w:r>
        <w:rPr>
          <w:rFonts w:ascii="Times New Roman" w:hAnsi="Times New Roman"/>
          <w:sz w:val="24"/>
        </w:rPr>
        <w:t xml:space="preserve"> international </w:t>
      </w:r>
      <w:r>
        <w:rPr>
          <w:rFonts w:ascii="Times New Roman" w:hAnsi="Times New Roman" w:cs="Times New Roman"/>
          <w:sz w:val="24"/>
          <w:szCs w:val="24"/>
        </w:rPr>
        <w:t>trade</w:t>
      </w:r>
      <w:r>
        <w:rPr>
          <w:rFonts w:ascii="Times New Roman" w:hAnsi="Times New Roman"/>
          <w:sz w:val="24"/>
        </w:rPr>
        <w:t>, other colors entered the local repertoire. For example, a chromium-oxide glaze from Germany was used to make the jade-green cups on the back wall.</w:t>
      </w:r>
    </w:p>
    <w:p w14:paraId="041A701C" w14:textId="77777777" w:rsidR="0054468F" w:rsidRDefault="0054468F" w:rsidP="0054468F">
      <w:pPr>
        <w:spacing w:line="0" w:lineRule="atLeast"/>
        <w:ind w:firstLine="284"/>
        <w:jc w:val="left"/>
        <w:rPr>
          <w:rFonts w:ascii="Times New Roman" w:hAnsi="Times New Roman"/>
          <w:sz w:val="24"/>
        </w:rPr>
      </w:pPr>
      <w:r>
        <w:rPr>
          <w:rFonts w:ascii="Times New Roman" w:hAnsi="Times New Roman"/>
          <w:sz w:val="24"/>
        </w:rPr>
        <w:t xml:space="preserve">The display on the back wall contains locally produced </w:t>
      </w:r>
      <w:r>
        <w:rPr>
          <w:rFonts w:ascii="Times New Roman" w:hAnsi="Times New Roman"/>
          <w:i/>
          <w:sz w:val="24"/>
        </w:rPr>
        <w:t>sakazuki</w:t>
      </w:r>
      <w:r>
        <w:rPr>
          <w:rFonts w:ascii="Times New Roman" w:hAnsi="Times New Roman"/>
          <w:sz w:val="24"/>
        </w:rPr>
        <w:t xml:space="preserve"> from the twentieth century. While mass production brought more uniformity to individual pieces, it also made porcelain accessible to more people and expanded the range of possible shapes and designs across the industry, as evidenced by the wide variety of cups on display.</w:t>
      </w:r>
    </w:p>
    <w:p w14:paraId="054B9760" w14:textId="77777777" w:rsidR="0054468F" w:rsidRDefault="0054468F" w:rsidP="0054468F">
      <w:pPr>
        <w:spacing w:line="0" w:lineRule="atLeast"/>
        <w:rPr>
          <w:rFonts w:ascii="Times New Roman" w:hAnsi="Times New Roman"/>
          <w:sz w:val="24"/>
        </w:rPr>
      </w:pPr>
      <w:r>
        <w:rPr>
          <w:rFonts w:ascii="Times New Roman" w:hAnsi="Times New Roman"/>
          <w:sz w:val="24"/>
        </w:rPr>
        <w:t xml:space="preserve">The case to the right </w:t>
      </w:r>
      <w:r>
        <w:rPr>
          <w:rFonts w:ascii="Times New Roman" w:hAnsi="Times New Roman" w:cs="Times New Roman"/>
          <w:sz w:val="24"/>
          <w:szCs w:val="24"/>
        </w:rPr>
        <w:t>displays</w:t>
      </w:r>
      <w:r>
        <w:rPr>
          <w:rFonts w:ascii="Times New Roman" w:hAnsi="Times New Roman"/>
          <w:sz w:val="24"/>
        </w:rPr>
        <w:t xml:space="preserve"> </w:t>
      </w:r>
      <w:r>
        <w:rPr>
          <w:rFonts w:ascii="Times New Roman" w:hAnsi="Times New Roman"/>
          <w:i/>
          <w:sz w:val="24"/>
        </w:rPr>
        <w:t>sakazuki</w:t>
      </w:r>
      <w:r>
        <w:rPr>
          <w:rFonts w:ascii="Times New Roman" w:hAnsi="Times New Roman"/>
          <w:sz w:val="24"/>
        </w:rPr>
        <w:t xml:space="preserve"> from Kyoto, Arita, Kutani, and Seto</w:t>
      </w:r>
      <w:r>
        <w:rPr>
          <w:rFonts w:ascii="Times New Roman" w:hAnsi="Times New Roman" w:cs="Times New Roman"/>
          <w:sz w:val="24"/>
          <w:szCs w:val="24"/>
        </w:rPr>
        <w:t>—</w:t>
      </w:r>
      <w:r>
        <w:rPr>
          <w:rFonts w:ascii="Times New Roman" w:hAnsi="Times New Roman"/>
          <w:sz w:val="24"/>
        </w:rPr>
        <w:t xml:space="preserve">all major ceramic-producing areas. They are decorated with motifs and colors characteristic of their respective regions, demonstrating the broad range of artistic expression </w:t>
      </w:r>
      <w:r>
        <w:rPr>
          <w:rFonts w:ascii="Times New Roman" w:hAnsi="Times New Roman" w:cs="Times New Roman"/>
          <w:sz w:val="24"/>
          <w:szCs w:val="24"/>
        </w:rPr>
        <w:t xml:space="preserve">that is </w:t>
      </w:r>
      <w:r>
        <w:rPr>
          <w:rFonts w:ascii="Times New Roman" w:hAnsi="Times New Roman"/>
          <w:sz w:val="24"/>
        </w:rPr>
        <w:t>possible with just a simple cup.</w:t>
      </w:r>
    </w:p>
    <w:p w14:paraId="45AFEA26" w14:textId="769AECAD" w:rsidR="008D2586" w:rsidRPr="0054468F" w:rsidRDefault="008D2586" w:rsidP="0054468F"/>
    <w:sectPr w:rsidR="008D2586" w:rsidRPr="005446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4468F"/>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 w:id="200724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2022-11-15T06:59:00Z</dcterms:created>
  <dcterms:modified xsi:type="dcterms:W3CDTF">2022-11-15T06:59:00Z</dcterms:modified>
</cp:coreProperties>
</file>