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1D8A" w:rsidRPr="006A3849" w:rsidRDefault="00341D8A" w:rsidP="00341D8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北口本宮富士淺間神社</w:t>
      </w:r>
    </w:p>
    <w:p/>
    <w:p w:rsidR="00341D8A" w:rsidRPr="006A3849" w:rsidRDefault="00341D8A" w:rsidP="00341D8A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北口本宮富士淺間神社，位於通往富士山頂的吉田登山步道北口。數世紀以來，眾多朝聖者從江戶（現東京）來此登頂，而大多數人皆選擇此座神社為登山起點。</w:t>
      </w:r>
    </w:p>
    <w:p w:rsidR="00341D8A" w:rsidRPr="006A3849" w:rsidRDefault="00341D8A" w:rsidP="00341D8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神社的起源可追溯至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110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年，因傳說中的王子日本武尊東征時，登上附近的山丘遙拜富士山，故於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788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年在現址建立神社。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17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至</w:t>
      </w:r>
      <w:r w:rsidRPr="006A3849">
        <w:rPr>
          <w:rFonts w:ascii="Source Han Sans CN Normal" w:eastAsia="Source Han Sans CN Normal" w:hAnsi="Source Han Sans CN Normal" w:cs="Arial"/>
          <w:sz w:val="22"/>
          <w:lang w:val="ja-JP" w:eastAsia="zh-TW"/>
        </w:rPr>
        <w:t>18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世紀，「富士講」信仰飛速發展普及，大批朝聖者從江戶蜂擁至此，神社的大部分建築均於當時修建。</w:t>
      </w:r>
    </w:p>
    <w:p w:rsidR="00341D8A" w:rsidRPr="00DA2D75" w:rsidRDefault="00341D8A" w:rsidP="00341D8A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參道（參拜道路）兩側，巨大古松參天而立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，前方是掛有「三國第一山」牌匾的雄偉鳥居。此處「三國」指日本、中國和印度，因為遠古時代的日本認為世界由這三個國家組成。這座鳥居不僅是神社的入口，也是富士山的大門。神社裡還建有徐福紀念碑，傳說徐福是西元前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3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世紀由秦始皇派遣來此尋找長生不老藥的使者。</w:t>
      </w:r>
    </w:p>
    <w:p w:rsidR="00341D8A" w:rsidRPr="00DA2D75" w:rsidRDefault="00341D8A" w:rsidP="00341D8A">
      <w:pPr>
        <w:adjustRightInd w:val="0"/>
        <w:snapToGrid w:val="0"/>
        <w:spacing w:line="240" w:lineRule="atLeast"/>
        <w:ind w:firstLineChars="100" w:firstLine="231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</w:p>
    <w:p w:rsidR="00341D8A" w:rsidRPr="00DA2D75" w:rsidRDefault="00341D8A" w:rsidP="00341D8A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val="ja-JP" w:eastAsia="zh-TW"/>
        </w:rPr>
      </w:pPr>
      <w:r w:rsidRPr="00DA2D75"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TW"/>
        </w:rPr>
        <w:t>三座本殿</w:t>
      </w:r>
    </w:p>
    <w:p w:rsidR="00341D8A" w:rsidRPr="00DA2D75" w:rsidRDefault="00341D8A" w:rsidP="00341D8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神社內與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現在的本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殿（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主殿）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並肩矗立的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是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兩座舊本殿。</w:t>
      </w:r>
    </w:p>
    <w:p w:rsidR="00341D8A" w:rsidRPr="00DA2D75" w:rsidRDefault="00341D8A" w:rsidP="00341D8A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TW"/>
        </w:rPr>
      </w:pP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最古老的本殿於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1223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年由鐮倉幕府第二代掌權者北條義時（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1163–1224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）建造。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1561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年，大名武田信玄（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1521–1573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）將該本殿寄贈予神社。在豐臣秀吉用武力統一全國後不到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10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1594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年，他間接資助興建了另一座更新更大的本殿。而神社最宏偉壯觀的本殿則是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1615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年由德川家康將軍（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1543–1616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）的家臣捐建。德川家執政的江戶時代（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TW"/>
        </w:rPr>
        <w:t>1603–1868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），為日本帶來了長期的和平與穩定。三座本殿均被日本政府指定為重要文化財。</w:t>
      </w:r>
    </w:p>
    <w:p w:rsidR="00341D8A" w:rsidRPr="00DA2D75" w:rsidRDefault="00341D8A" w:rsidP="00341D8A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PMingLiU" w:hAnsi="Source Han Sans CN Normal" w:cs="Arial"/>
          <w:sz w:val="22"/>
          <w:lang w:val="ja-JP" w:eastAsia="zh-TW"/>
        </w:rPr>
      </w:pP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此座神社還有一大非比尋常之處，在神社建築後方，供奉著日本象徵繁榮興旺的惠比壽神和大黑天神。參拜時必須背向富士山，這也是這座神社較為獨特的參拜方法。之所以選擇在此處供奉兩位神明，或許是為了讓它們永遠面朝富士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D8A"/>
    <w:rsid w:val="00341D8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354B1-FD42-45B8-A456-8AB3751A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