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E1DA9" w:rsidRPr="00CD3188" w:rsidRDefault="00AE1DA9" w:rsidP="002F25D7">
      <w:pPr>
        <w:rPr>
          <w:rFonts w:ascii="Source Han Sans CN Normal" w:eastAsia="Source Han Sans CN Normal" w:hAnsi="Source Han Sans CN Normal"/>
          <w:b/>
          <w:bCs/>
          <w:color w:val="000000" w:themeColor="text1"/>
        </w:rPr>
      </w:pPr>
      <w:bookmarkStart w:id="0" w:name="_Hlk50413004"/>
      <w:r w:rsidRPr="00D75DC3">
        <w:rPr>
          <w:rFonts w:ascii="Source Han Sans CN Normal" w:eastAsia="Source Han Sans CN Normal" w:hAnsi="Source Han Sans CN Normal" w:hint="eastAsia"/>
          <w:b/>
          <w:bCs/>
        </w:rPr>
        <w:t>五重</w:t>
      </w:r>
      <w:r w:rsidRPr="00CD3188">
        <w:rPr>
          <w:rFonts w:ascii="Source Han Sans CN Normal" w:eastAsia="Source Han Sans CN Normal" w:hAnsi="Source Han Sans CN Normal" w:hint="eastAsia"/>
          <w:b/>
          <w:bCs/>
          <w:color w:val="000000" w:themeColor="text1"/>
        </w:rPr>
        <w:t>塔</w:t>
      </w:r>
      <w:r w:rsidRPr="00CD3188">
        <w:rPr>
          <w:rFonts w:ascii="Source Han Sans CN Normal" w:eastAsia="Source Han Sans CN Normal" w:hAnsi="Source Han Sans CN Normal"/>
          <w:b/>
          <w:bCs/>
          <w:color w:val="000000" w:themeColor="text1"/>
        </w:rPr>
        <w:t>（重要文化財</w:t>
      </w:r>
      <w:r w:rsidRPr="00CD3188">
        <w:rPr>
          <w:rFonts w:ascii="Source Han Sans CN Normal" w:eastAsia="Source Han Sans CN Normal" w:hAnsi="Source Han Sans CN Normal" w:hint="eastAsia"/>
          <w:b/>
          <w:bCs/>
          <w:color w:val="000000" w:themeColor="text1"/>
        </w:rPr>
        <w:t>）</w:t>
      </w:r>
    </w:p>
    <w:p/>
    <w:p w:rsidR="00AE1DA9" w:rsidRPr="00CD3188" w:rsidRDefault="00AE1DA9" w:rsidP="002F25D7">
      <w:pPr>
        <w:ind w:firstLineChars="200" w:firstLine="441"/>
        <w:rPr>
          <w:rFonts w:ascii="Source Han Sans CN Normal" w:eastAsia="PMingLiU" w:hAnsi="Source Han Sans CN Normal"/>
          <w:color w:val="000000" w:themeColor="text1"/>
        </w:rPr>
      </w:pPr>
      <w:r w:rsidRPr="00CD3188">
        <w:rPr>
          <w:rFonts w:ascii="Source Han Sans CN Normal" w:eastAsia="Source Han Sans CN Normal" w:hAnsi="Source Han Sans CN Normal" w:hint="eastAsia"/>
          <w:color w:val="000000" w:themeColor="text1"/>
        </w:rPr>
        <w:t>塔內實際上僅1樓設有房間，2樓至5樓間連通為一體，由塔的鬥栱及屋簷構成5層樓的視覺效果。</w:t>
      </w:r>
    </w:p>
    <w:p w:rsidR="00AE1DA9" w:rsidRPr="000506CD" w:rsidRDefault="00AE1DA9" w:rsidP="000506CD">
      <w:pPr>
        <w:ind w:firstLineChars="200" w:firstLine="441"/>
        <w:rPr>
          <w:rFonts w:ascii="Source Han Sans CN Normal" w:eastAsia="PMingLiU" w:hAnsi="Source Han Sans CN Normal"/>
        </w:rPr>
      </w:pPr>
      <w:r w:rsidRPr="00CD3188">
        <w:rPr>
          <w:rFonts w:ascii="Source Han Sans CN Normal" w:eastAsia="Source Han Sans CN Normal" w:hAnsi="Source Han Sans CN Normal" w:hint="eastAsia"/>
          <w:color w:val="000000" w:themeColor="text1"/>
        </w:rPr>
        <w:t>塔的1樓收藏眾多障壁畫（繪於拉門、屏風上的畫作）及佛像。中央樑柱前坐鎮大日如來像，其旁側則有鎮守四方之佛護駕。佛法中，大日如來是普照宇宙的佛陀，世間萬物及一切現象皆是祂的「形體」與「</w:t>
      </w:r>
      <w:r w:rsidRPr="00D75DC3">
        <w:rPr>
          <w:rFonts w:ascii="Source Han Sans CN Normal" w:eastAsia="Source Han Sans CN Normal" w:hAnsi="Source Han Sans CN Normal" w:hint="eastAsia"/>
        </w:rPr>
        <w:t>成就」。</w:t>
      </w:r>
      <w:bookmarkEnd w:id="0"/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E1DA9"/>
    <w:rsid w:val="00444234"/>
    <w:rsid w:val="00AE1DA9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A01E762-7AE0-4C2F-BD62-1F290FB870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25</Words>
  <Characters>149</Characters>
  <Application>Microsoft Office Word</Application>
  <DocSecurity>0</DocSecurity>
  <Lines>1</Lines>
  <Paragraphs>1</Paragraphs>
  <ScaleCrop>false</ScaleCrop>
  <Company/>
  <LinksUpToDate>false</LinksUpToDate>
  <CharactersWithSpaces>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2023-07-11T04:03:00Z</dcterms:created>
  <dcterms:modified xsi:type="dcterms:W3CDTF">2023-07-11T04:03:00Z</dcterms:modified>
</cp:coreProperties>
</file>