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07D" w:rsidRDefault="0072507D" w:rsidP="002F25D7">
      <w:pPr>
        <w:rPr>
          <w:rFonts w:ascii="Source Han Sans CN Normal" w:eastAsia="Source Han Sans CN Normal" w:hAnsi="Source Han Sans CN Normal"/>
          <w:b/>
          <w:bCs/>
        </w:rPr>
      </w:pPr>
      <w:r w:rsidRPr="001C3D5B">
        <w:rPr>
          <w:rFonts w:ascii="Source Han Sans CN Normal" w:eastAsia="Source Han Sans CN Normal" w:hAnsi="Source Han Sans CN Normal"/>
          <w:b/>
          <w:bCs/>
        </w:rPr>
        <w:t>不動明王坐像</w:t>
      </w:r>
    </w:p>
    <w:p/>
    <w:p w:rsidR="0072507D" w:rsidRDefault="0072507D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1C3D5B">
        <w:rPr>
          <w:rFonts w:ascii="Source Han Sans CN Normal" w:eastAsia="Source Han Sans CN Normal" w:hAnsi="Source Han Sans CN Normal"/>
        </w:rPr>
        <w:t>不動明王（毫不動搖的守護神）盤腿而坐，面容</w:t>
      </w:r>
      <w:r w:rsidRPr="001C3D5B">
        <w:rPr>
          <w:rFonts w:ascii="Source Han Sans CN Normal" w:eastAsia="Source Han Sans CN Normal" w:hAnsi="Source Han Sans CN Normal" w:hint="eastAsia"/>
        </w:rPr>
        <w:t>猙獰、怒目圓睜。不動明王在五大明王中最為強大和重要，其力量來源不只因祂五大明王之一的身份，更因祂同時是宇宙佛陀、萬物中心——大日如來的化身。不動明王表情凶狠，其手中的鞭與劍亦極駭人，而諸般武器皆具意義。劍與握柄分岔的法器「金剛杵」有其淵源，象徵佛教的教誨與傳播力，更能破除擾亂信眾頓悟的一切愚癡妄想。鞭則像徵引導不信者步入佛門。至於不動明王的兇惡神色，是因信眾妄想背離救濟正道，有所欺瞞，祂才面露正義之怒。不動明王面噁心善，除仁和寺隸屬的真言宗外，祂在其他許多宗派中</w:t>
      </w:r>
      <w:r w:rsidRPr="001C3D5B">
        <w:rPr>
          <w:rFonts w:ascii="Source Han Sans CN Normal" w:eastAsia="Source Han Sans CN Normal" w:hAnsi="Source Han Sans CN Normal"/>
        </w:rPr>
        <w:t>亦舉足輕重。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07D"/>
    <w:rsid w:val="00444234"/>
    <w:rsid w:val="0072507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91EE3-25DB-4ADB-A77D-D2145D4E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