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273" w:rsidRDefault="00154273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島根半島東部的海蝕洞</w:t>
      </w:r>
    </w:p>
    <w:p w:rsidR="00154273" w:rsidRPr="003B18C0" w:rsidRDefault="00154273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154273" w:rsidRPr="00914D9F" w:rsidRDefault="0015427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部海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廣闊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美景，因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斷崖絕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壁、大小不一的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岩石構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峽灣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，以及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熔岩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而成的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諸島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而享有盛名。松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江東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北部的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斷崖絕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壁下，有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勝數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蝕洞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是由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沖刷岩體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而形成的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細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龜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裂，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經長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累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月暴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露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風浪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溶蝕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而成。</w:t>
      </w:r>
    </w:p>
    <w:p w:rsidR="00154273" w:rsidRPr="00914D9F" w:rsidRDefault="0015427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「加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」由「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舊潛戶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」和「新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兩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洞窟組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成。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兩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者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皆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教和神道教的教典中被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奉為聖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地。相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傳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舊潛戶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夭折孩童靈魂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聚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集之地，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見無數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石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堆砌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而成的供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養塔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——「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賽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磧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遍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布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青苔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櫛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比而立。根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據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8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抄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記載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，「新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」是神道教的大神之一——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猿田彥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大神的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生地。「新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方向均有入口，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入口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經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200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隧洞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可直通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斷崖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舊潛戶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」只有一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入口，入口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雖狹窄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旦踏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洞窟內卻無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比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寬敞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另亦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經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由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岸邊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引出的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隧洞進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入。</w:t>
      </w:r>
    </w:p>
    <w:p w:rsidR="00154273" w:rsidRPr="00914D9F" w:rsidRDefault="00154273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另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派威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蝕洞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是位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於半島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最北端的「多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古七穴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這裡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飽覽寬約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400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、高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約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50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的海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蝕崖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。海側正面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七個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入口，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實則共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有九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個洞穴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。「加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潛戶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古七穴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」均被指定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勝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皆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乘船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抵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達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273"/>
    <w:rsid w:val="0015427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E471A-8EFD-4E37-BEBF-A25514B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