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637" w:rsidRPr="004A0297" w:rsidRDefault="00024637" w:rsidP="00024637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4A0297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馎饦</w:t>
      </w:r>
    </w:p>
    <w:p/>
    <w:p w:rsidR="00024637" w:rsidRDefault="00024637" w:rsidP="00024637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馎饦是一种用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小麦粉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成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的面条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又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粗又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宽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，常配以蔬菜汤食用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。与日本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其他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面食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不同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制作馎饦时无需先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用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水煮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生面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经过揉胚、刀切和晾干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后可直接与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其它蔬菜一起烹煮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制作汤底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时，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南瓜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的甜味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非常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重要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通常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还会加入胡萝卜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、卷心菜、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红薯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和肉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类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等。</w:t>
      </w:r>
    </w:p>
    <w:p w:rsidR="00024637" w:rsidRPr="008E26B1" w:rsidRDefault="00024637" w:rsidP="0002463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这道美食的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起源已无从稽考。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有一种说法是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，平安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代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794-1185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《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枕草子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》和其它记录中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提及一种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名为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Hakutaku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小麦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制成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面食，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它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后来被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读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作“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H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outou”，也就是馎饦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。但是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，“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H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akutaku”是与赤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豆一起食用的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与富士五湖地区吃的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馎饦没有明确的关联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地区因为难以种植大米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所以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不得不种植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小麦。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直到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几十年前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这里的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户户都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有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馎饦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专用砧板，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经常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用来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制作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馎饦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024637" w:rsidRPr="00B3600C" w:rsidRDefault="00024637" w:rsidP="00024637">
      <w:pPr>
        <w:widowControl/>
        <w:adjustRightInd w:val="0"/>
        <w:snapToGrid w:val="0"/>
        <w:spacing w:line="240" w:lineRule="atLeast"/>
        <w:ind w:firstLineChars="193" w:firstLine="446"/>
        <w:rPr>
          <w:rFonts w:ascii="Meiryo UI" w:hAnsi="Meiryo UI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有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另一种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民间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说法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认为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，“馎饦”一词与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武田信玄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1521-1573）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有关，传说他曾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用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自己的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“宝刀”（日语发音与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馎饦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相同）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为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部下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切面胚做面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条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。虽然信玄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军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据信可能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在前线吃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过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馎饦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很多馎饦店也挂着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信玄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军旗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但这个故事很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有可能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纯属杜撰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637"/>
    <w:rsid w:val="0002463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0C88D-97E0-4E60-8744-E78602C0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