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0AA" w:rsidRDefault="00AA70AA">
      <w:pPr>
        <w:snapToGrid w:val="0"/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  <w:t>高札场</w:t>
      </w:r>
    </w:p>
    <w:p/>
    <w:p w:rsidR="00AA70AA" w:rsidRDefault="00AA70AA">
      <w:pPr>
        <w:snapToGrid w:val="0"/>
        <w:ind w:firstLine="440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江户时代（1603-1868），通常会在路口、码头、桥梁附近等人流熙攘的场所设立名为“高札”的官方告示牌。行经的旅客进入城镇前，均会确认这些告示牌。告示牌上罗列出当地的各项规章和禁令，还包括居民及访客必须遵守的事项。2009年，当地忠实复原了江户时代的高札场（悬挂告示牌的场地），将其设立于温泉小镇上，并悬挂起手写告示牌。下吕曾是旧飞騨街道上的借宿小镇，这条古道连接着现在的富山与岐阜两县。古色古香的高札场将这段悠远流长的过去生动地再现于游客眼前，令人遥想怀古，思绪绵延。下吕高札场位置便利，距温泉博物馆和加惠瑠神社（又称“青蛙神社”）都不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0AA"/>
    <w:rsid w:val="00444234"/>
    <w:rsid w:val="00AA70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64C5C-3580-45B4-90BD-87732D11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