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E46" w:rsidRPr="003E484D" w:rsidRDefault="00CC1E46" w:rsidP="00CC1E46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寻味盆栽</w:t>
      </w:r>
    </w:p>
    <w:p/>
    <w:p w:rsidR="00CC1E46" w:rsidRPr="003E484D" w:rsidRDefault="00CC1E46" w:rsidP="00CC1E46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盆栽，是将波澜壮阔的自然风景浓缩为袖珍精致的“活雕塑”。记住这一概念，再</w:t>
      </w:r>
      <w:r w:rsidRPr="003E484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理解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以下要点，观赏者便可体味这种因木而异的艺术。</w:t>
      </w:r>
    </w:p>
    <w:p w:rsidR="00CC1E46" w:rsidRPr="003E484D" w:rsidRDefault="00CC1E46" w:rsidP="00CC1E46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首先，认清盆栽的“脸”。大多数盆栽都有明确的正反面之分。将盆栽移入花盆前，盆栽艺匠须先辨明其特征，以体现特征的一面作为正面进行移植，之后始终以“从正面观赏”为视角引导植物生长。无论是看似张开双臂、迎客伸展的枝条，还是彬彬有礼、弯腰致意的树形，这些都是找到盆栽之“脸”的线索。</w:t>
      </w:r>
    </w:p>
    <w:p w:rsidR="00CC1E46" w:rsidRPr="00EF0941" w:rsidRDefault="00CC1E46" w:rsidP="00CC1E46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其次，观察作品时，盆栽艺匠会让视线水平于盆栽根部或树干底部，以使微观树木显得高大挺拔。以此视角观察，观赏者不仅可把握盆栽整体形象，还能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领略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树木各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细节处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的独特魅力，如盘节延伸的树根、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苍劲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挺立的树干、优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美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舒展的枝丫、色泽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雅致</w:t>
      </w:r>
      <w:r w:rsidRPr="003E484D">
        <w:rPr>
          <w:rFonts w:ascii="Source Han Sans CN Normal" w:eastAsia="Source Han Sans CN Normal" w:hAnsi="Source Han Sans CN Normal" w:cs="SimSun"/>
          <w:sz w:val="22"/>
          <w:lang w:eastAsia="zh-CN"/>
        </w:rPr>
        <w:t>的叶片等等。被称作“神枝”和“舍利干”的干枯枝条及树干所酝酿出的庄重意境，也是观赏时值得玩味的看点。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46"/>
    <w:rsid w:val="00444234"/>
    <w:rsid w:val="00C42597"/>
    <w:rsid w:val="00C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32B69-B2EC-4ED3-92CC-653D656B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