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10E" w:rsidRPr="00A54815" w:rsidRDefault="000A510E" w:rsidP="000A510E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如何参与四国遍路巡礼</w:t>
      </w:r>
    </w:p>
    <w:p/>
    <w:p w:rsidR="000A510E" w:rsidRPr="00A54815" w:rsidRDefault="000A510E" w:rsidP="000A510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虽然四国遍路巡礼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的目的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是参拜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佛教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寺庙，但任何人都可以参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加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，无论他们的宗教信仰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或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归属如何。参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加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方式也并没有严格规定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巡礼者无需一次走完整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条路线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，也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无需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按照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88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或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88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1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的顺序来进行。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并且，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除了步行，自驾、乘坐巴士、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列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车或出租车往来于寺庙之间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同样被认可。每座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寺庙都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是一个独立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目的地，而不仅仅是大型朝圣之旅的一部分。</w:t>
      </w:r>
    </w:p>
    <w:p w:rsidR="000A510E" w:rsidRPr="00A54815" w:rsidRDefault="000A510E" w:rsidP="000A510E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不过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，巡礼者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还是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需要留意一些朝圣的基本准则。首先，巡礼者应当考虑穿上带袖或无袖的白衣，戴上斗笠，以及带上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若干醒目且富有象征性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的物品。在大多数大型寺庙都可以买到这些装备，其中一些寺庙还配备了英文版指南和地图。第二，巡礼者应当与其他巡礼者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以及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当地居民积极互动，哪怕只是沿途打个招呼。这种交流往往会带来意外的发现和难忘的邂逅。最后，建议巡礼者提前预订住宿。除了酒店和旅馆之外，还可以选择在寺庙宿坊过夜。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部分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寺庙</w:t>
      </w:r>
      <w:r w:rsidRPr="00A54815">
        <w:rPr>
          <w:rFonts w:eastAsia="Source Han Sans CN Normal" w:hint="eastAsia"/>
          <w:bCs/>
          <w:color w:val="000000" w:themeColor="text1"/>
          <w:sz w:val="22"/>
          <w:lang w:eastAsia="zh-CN"/>
        </w:rPr>
        <w:t>不仅</w:t>
      </w:r>
      <w:r w:rsidRPr="00A54815">
        <w:rPr>
          <w:rFonts w:eastAsia="Source Han Sans CN Normal"/>
          <w:bCs/>
          <w:color w:val="000000" w:themeColor="text1"/>
          <w:sz w:val="22"/>
          <w:lang w:eastAsia="zh-CN"/>
        </w:rPr>
        <w:t>提供含餐的住宿，还会让巡礼者参与晨课或晚课。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10E"/>
    <w:rsid w:val="000A510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55F6D-DA14-4DC9-96F2-36593588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