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7684" w:rsidRPr="00AD3F94" w:rsidRDefault="00367684" w:rsidP="0036768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夕阳产业的草根保护行动</w:t>
      </w:r>
    </w:p>
    <w:p/>
    <w:p w:rsidR="00367684" w:rsidRPr="00AD3F94" w:rsidRDefault="00367684" w:rsidP="0036768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马赛克瓷砖博物馆位于笠原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，这里是著名的瓷砖产地。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中期，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本地瓷砖产业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迎来了它的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全盛时期，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笠原拥有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家以上的瓷砖厂，占据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着大半个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国内市场。</w:t>
      </w:r>
    </w:p>
    <w:p w:rsidR="00367684" w:rsidRPr="00AD3F94" w:rsidRDefault="00367684" w:rsidP="0036768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笠原的陶瓷器生产历史可以追溯到大约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年以前，但专注于瓷砖制造却是进入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世纪以后的事情。二战结束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，国内复兴催生出大量的瓷砖需求，笠原的经济开始呈现出爆发式增长。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80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末期至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90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年代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初期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，高层建筑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的外墙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大量使用瓷砖贴面，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使得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这一产业进入了第二个黄金时期。然而，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在跨入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21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前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，民众生活方式的改变、新型建筑材料的涌现、海外同行的竞争等种种因素，令日本本土的瓷砖制造业遭受了重创。</w:t>
      </w:r>
    </w:p>
    <w:p w:rsidR="00367684" w:rsidRPr="00AD3F94" w:rsidRDefault="00367684" w:rsidP="00367684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世纪之交前后，许多老旧建筑被列入拆除名单，那些在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20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世纪贴装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建筑内外的马赛克瓷砖作品也因此陷入了损毁消失的危机之中。在笠原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商业工会的主导下，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当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地居民以个人身份开始购买和回收这些马赛克作品。然而，随之而来的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问题是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在哪里存放、展示这些独特的工艺品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。经过讨论，几个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原本互为竞争关系的本地陶瓷制造商、销售商和黏土厂商站了出来，联手为这项保护行动提供支持，马赛克瓷砖博物馆就此诞生。博物馆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不仅保存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了这些瓷砖作品，还为瓷砖行业的存续乃至发展提供帮助。馆内设有瓷砖烧制工房，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楼的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个展厅则呈现了瓷砖装饰的丰富可能性。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7684"/>
    <w:rsid w:val="0036768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EAA59-F589-48C4-82DE-9969F95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