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D92" w:rsidRPr="00D07FF2" w:rsidRDefault="00FA7D92" w:rsidP="00FA7D92">
      <w:pPr>
        <w:pStyle w:val="Web"/>
        <w:adjustRightInd w:val="0"/>
        <w:contextualSpacing/>
        <w:rPr>
          <w:b/>
          <w:bCs/>
        </w:rPr>
      </w:pPr>
      <w:r w:rsidRPr="00D07FF2">
        <w:rPr>
          <w:b/>
          <w:bCs/>
        </w:rPr>
        <w:t>The</w:t>
      </w:r>
      <w:r w:rsidRPr="00D07FF2">
        <w:rPr>
          <w:b/>
          <w:bCs/>
          <w:i/>
          <w:iCs/>
        </w:rPr>
        <w:t xml:space="preserve"> </w:t>
      </w:r>
      <w:r w:rsidRPr="00D07FF2">
        <w:rPr>
          <w:b/>
          <w:bCs/>
        </w:rPr>
        <w:t>Hyakkō Hishō:</w:t>
      </w:r>
      <w:r w:rsidRPr="00D07FF2">
        <w:rPr>
          <w:b/>
          <w:bCs/>
          <w:i/>
          <w:iCs/>
        </w:rPr>
        <w:t xml:space="preserve"> </w:t>
      </w:r>
      <w:r w:rsidRPr="00D07FF2">
        <w:rPr>
          <w:b/>
          <w:bCs/>
        </w:rPr>
        <w:t>A Lord’s Collection of Decorative Craft Samples</w:t>
      </w:r>
    </w:p>
    <w:p w:rsidR="00FA7D92" w:rsidRPr="00D07FF2" w:rsidRDefault="00FA7D92" w:rsidP="00FA7D92">
      <w:pPr>
        <w:pStyle w:val="Web"/>
        <w:adjustRightInd w:val="0"/>
        <w:contextualSpacing/>
        <w:rPr>
          <w:color w:val="000000"/>
        </w:rPr>
      </w:pPr>
      <w: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The Hyakkō Hishō is a seventeenth-century collection of small articles, swatches, and illustrations representing decorative crafts from across Japan. It was conceived by Maeda Tsunanori (1643–1724), the fifth lord of Kaga domain (now Ishikawa and Toyama Prefectures). The collection comprises eleven boxes—over 2,000 items in total—that exemplify superior craft techniques of the 1600s.</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u w:val="single"/>
        </w:rPr>
      </w:pPr>
      <w:r w:rsidRPr="00D07FF2">
        <w:rPr>
          <w:rFonts w:ascii="Times New Roman" w:hAnsi="Times New Roman" w:cs="Times New Roman"/>
          <w:sz w:val="24"/>
          <w:szCs w:val="24"/>
          <w:u w:val="single"/>
        </w:rPr>
        <w:t>The Collector</w:t>
      </w: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Maeda Tsunanori was a meticulous, scholarly man who valued collecting books, documents, and decorative arts and crafts. Like many of his contemporaries, he was strongly influenced by the ideas of Chinese Neo-Confucianist Zhu Xi (1130–1200), who encouraged “investigating things to extend knowledge.” In keeping with this philosophy, Tsunanori believed that closely observing decorative crafts (a form of “knowledge” stemming from human creativity) would give him insight into the fundamental patterns making up the physical world. Tsunanori was unusual in applying this philosophy to decorative arts and crafts, making the Hyakkō Hishō a unique and precious resource.</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To form the collection, Tsunanori had artisans make samples for him. He also gathered items from the Maeda family’s residences in Kaga and Edo (now Tokyo). He even purchased items from other domains</w:t>
      </w:r>
      <w:r>
        <w:rPr>
          <w:rFonts w:ascii="Times New Roman" w:hAnsi="Times New Roman" w:cs="Times New Roman"/>
          <w:sz w:val="24"/>
          <w:szCs w:val="24"/>
        </w:rPr>
        <w:t>,</w:t>
      </w:r>
      <w:r w:rsidRPr="00D07FF2">
        <w:rPr>
          <w:rFonts w:ascii="Times New Roman" w:hAnsi="Times New Roman" w:cs="Times New Roman"/>
          <w:sz w:val="24"/>
          <w:szCs w:val="24"/>
        </w:rPr>
        <w:t xml:space="preserve"> and when an owner refused to sell, had copies made or illustrations drawn. Approximately 85 to 90 percent of the collection was gathered by Tsunanori; after his death</w:t>
      </w:r>
      <w:r w:rsidRPr="00D07FF2">
        <w:rPr>
          <w:rStyle w:val="a3"/>
          <w:rFonts w:ascii="Times New Roman" w:hAnsi="Times New Roman" w:cs="Times New Roman"/>
          <w:sz w:val="24"/>
          <w:szCs w:val="24"/>
        </w:rPr>
        <w:t>,</w:t>
      </w:r>
      <w:r w:rsidRPr="00D07FF2">
        <w:rPr>
          <w:rFonts w:ascii="Times New Roman" w:hAnsi="Times New Roman" w:cs="Times New Roman"/>
          <w:sz w:val="24"/>
          <w:szCs w:val="24"/>
        </w:rPr>
        <w:t xml:space="preserve"> his descendants continued to expand it. However, the lack of organization of Box Eleven—thought to have been a temporary “sorting box”—suggests that the collection was never completed or fully catalogued.</w:t>
      </w:r>
    </w:p>
    <w:p w:rsidR="00FA7D92" w:rsidRPr="00D07FF2" w:rsidRDefault="00FA7D92" w:rsidP="00FA7D92">
      <w:pPr>
        <w:jc w:val="left"/>
        <w:rPr>
          <w:rFonts w:ascii="Times New Roman" w:hAnsi="Times New Roman" w:cs="Times New Roman"/>
          <w:sz w:val="24"/>
          <w:szCs w:val="24"/>
          <w:u w:val="single"/>
        </w:rPr>
      </w:pPr>
    </w:p>
    <w:p w:rsidR="00FA7D92" w:rsidRPr="00D07FF2" w:rsidRDefault="00FA7D92" w:rsidP="00FA7D92">
      <w:pPr>
        <w:jc w:val="left"/>
        <w:rPr>
          <w:rFonts w:ascii="Times New Roman" w:hAnsi="Times New Roman" w:cs="Times New Roman"/>
          <w:sz w:val="24"/>
          <w:szCs w:val="24"/>
          <w:u w:val="single"/>
        </w:rPr>
      </w:pPr>
      <w:r w:rsidRPr="00D07FF2">
        <w:rPr>
          <w:rFonts w:ascii="Times New Roman" w:hAnsi="Times New Roman" w:cs="Times New Roman"/>
          <w:sz w:val="24"/>
          <w:szCs w:val="24"/>
          <w:u w:val="single"/>
        </w:rPr>
        <w:t>Contents</w:t>
      </w: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 xml:space="preserve">The collection contains samples of </w:t>
      </w:r>
      <w:r w:rsidRPr="00D07FF2">
        <w:rPr>
          <w:rFonts w:ascii="Times New Roman" w:hAnsi="Times New Roman" w:cs="Times New Roman"/>
          <w:i/>
          <w:iCs/>
          <w:sz w:val="24"/>
          <w:szCs w:val="24"/>
        </w:rPr>
        <w:t>maki-e</w:t>
      </w:r>
      <w:r w:rsidRPr="00D07FF2">
        <w:rPr>
          <w:rFonts w:ascii="Times New Roman" w:hAnsi="Times New Roman" w:cs="Times New Roman"/>
          <w:sz w:val="24"/>
          <w:szCs w:val="24"/>
        </w:rPr>
        <w:t xml:space="preserve"> lacquer decoration, metalwork, woodwork, </w:t>
      </w:r>
      <w:r w:rsidRPr="00987352">
        <w:rPr>
          <w:rFonts w:ascii="Times New Roman" w:hAnsi="Times New Roman" w:cs="Times New Roman"/>
          <w:i/>
          <w:iCs/>
          <w:sz w:val="24"/>
          <w:szCs w:val="24"/>
        </w:rPr>
        <w:t>washi</w:t>
      </w:r>
      <w:r w:rsidRPr="00D07FF2">
        <w:rPr>
          <w:rFonts w:ascii="Times New Roman" w:hAnsi="Times New Roman" w:cs="Times New Roman"/>
          <w:sz w:val="24"/>
          <w:szCs w:val="24"/>
        </w:rPr>
        <w:t xml:space="preserve"> paper, leather, and cloth, as well as illustrations of garments, family crests (</w:t>
      </w:r>
      <w:r w:rsidRPr="00D07FF2">
        <w:rPr>
          <w:rFonts w:ascii="Times New Roman" w:hAnsi="Times New Roman" w:cs="Times New Roman"/>
          <w:i/>
          <w:iCs/>
          <w:sz w:val="24"/>
          <w:szCs w:val="24"/>
        </w:rPr>
        <w:t>kamon</w:t>
      </w:r>
      <w:r w:rsidRPr="00D07FF2">
        <w:rPr>
          <w:rFonts w:ascii="Times New Roman" w:hAnsi="Times New Roman" w:cs="Times New Roman"/>
          <w:sz w:val="24"/>
          <w:szCs w:val="24"/>
        </w:rPr>
        <w:t>), and more.</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 xml:space="preserve">Box One contains, among other things, samples of </w:t>
      </w:r>
      <w:r w:rsidRPr="00D07FF2">
        <w:rPr>
          <w:rFonts w:ascii="Times New Roman" w:hAnsi="Times New Roman" w:cs="Times New Roman"/>
          <w:i/>
          <w:iCs/>
          <w:sz w:val="24"/>
          <w:szCs w:val="24"/>
        </w:rPr>
        <w:t>maki-e</w:t>
      </w:r>
      <w:r w:rsidRPr="00D07FF2">
        <w:rPr>
          <w:rFonts w:ascii="Times New Roman" w:hAnsi="Times New Roman" w:cs="Times New Roman"/>
          <w:sz w:val="24"/>
          <w:szCs w:val="24"/>
        </w:rPr>
        <w:t xml:space="preserve">. Especially notable are the squares of </w:t>
      </w:r>
      <w:r w:rsidRPr="00D07FF2">
        <w:rPr>
          <w:rFonts w:ascii="Times New Roman" w:hAnsi="Times New Roman" w:cs="Times New Roman"/>
          <w:i/>
          <w:iCs/>
          <w:sz w:val="24"/>
          <w:szCs w:val="24"/>
        </w:rPr>
        <w:t>nashiji nuri-iro</w:t>
      </w:r>
      <w:r w:rsidRPr="00D07FF2">
        <w:rPr>
          <w:rFonts w:ascii="Times New Roman" w:hAnsi="Times New Roman" w:cs="Times New Roman"/>
          <w:sz w:val="24"/>
          <w:szCs w:val="24"/>
        </w:rPr>
        <w:t xml:space="preserve">, one of the earliest </w:t>
      </w:r>
      <w:r w:rsidRPr="00D07FF2">
        <w:rPr>
          <w:rFonts w:ascii="Times New Roman" w:hAnsi="Times New Roman" w:cs="Times New Roman"/>
          <w:i/>
          <w:iCs/>
          <w:sz w:val="24"/>
          <w:szCs w:val="24"/>
        </w:rPr>
        <w:t>maki-e</w:t>
      </w:r>
      <w:r w:rsidRPr="00D07FF2">
        <w:rPr>
          <w:rFonts w:ascii="Times New Roman" w:hAnsi="Times New Roman" w:cs="Times New Roman"/>
          <w:sz w:val="24"/>
          <w:szCs w:val="24"/>
        </w:rPr>
        <w:t xml:space="preserve"> styles. </w:t>
      </w:r>
      <w:r>
        <w:rPr>
          <w:rFonts w:ascii="Times New Roman" w:hAnsi="Times New Roman" w:cs="Times New Roman"/>
          <w:sz w:val="24"/>
          <w:szCs w:val="24"/>
        </w:rPr>
        <w:t>The style</w:t>
      </w:r>
      <w:r w:rsidRPr="00D07FF2">
        <w:rPr>
          <w:rFonts w:ascii="Times New Roman" w:hAnsi="Times New Roman" w:cs="Times New Roman"/>
          <w:sz w:val="24"/>
          <w:szCs w:val="24"/>
        </w:rPr>
        <w:t xml:space="preserve"> uses a fine gold powder called </w:t>
      </w:r>
      <w:r w:rsidRPr="00D07FF2">
        <w:rPr>
          <w:rFonts w:ascii="Times New Roman" w:hAnsi="Times New Roman" w:cs="Times New Roman"/>
          <w:i/>
          <w:iCs/>
          <w:sz w:val="24"/>
          <w:szCs w:val="24"/>
        </w:rPr>
        <w:t xml:space="preserve">nashiji </w:t>
      </w:r>
      <w:r w:rsidRPr="00D07FF2">
        <w:rPr>
          <w:rFonts w:ascii="Times New Roman" w:hAnsi="Times New Roman" w:cs="Times New Roman"/>
          <w:sz w:val="24"/>
          <w:szCs w:val="24"/>
        </w:rPr>
        <w:t xml:space="preserve">(literally, “pear-skin surface”) made of irregularly sized particles. When sprinkled over a lacquered base, the powder creates a texture that resembles the skin of an Asian pear. The </w:t>
      </w:r>
      <w:r w:rsidRPr="00D07FF2">
        <w:rPr>
          <w:rFonts w:ascii="Times New Roman" w:hAnsi="Times New Roman" w:cs="Times New Roman"/>
          <w:i/>
          <w:iCs/>
          <w:sz w:val="24"/>
          <w:szCs w:val="24"/>
        </w:rPr>
        <w:t>nashiji maki-e</w:t>
      </w:r>
      <w:r w:rsidRPr="00D07FF2">
        <w:rPr>
          <w:rFonts w:ascii="Times New Roman" w:hAnsi="Times New Roman" w:cs="Times New Roman"/>
          <w:sz w:val="24"/>
          <w:szCs w:val="24"/>
        </w:rPr>
        <w:t xml:space="preserve"> squares are arranged to show a progression of application techniques and colorings. In this way, the samples would have served as useful teaching tools for artisans as well as a reference for specific designs and styles of </w:t>
      </w:r>
      <w:r w:rsidRPr="00D07FF2">
        <w:rPr>
          <w:rFonts w:ascii="Times New Roman" w:hAnsi="Times New Roman" w:cs="Times New Roman"/>
          <w:i/>
          <w:iCs/>
          <w:sz w:val="24"/>
          <w:szCs w:val="24"/>
        </w:rPr>
        <w:t>maki-e</w:t>
      </w:r>
      <w:r w:rsidRPr="00D07FF2">
        <w:rPr>
          <w:rFonts w:ascii="Times New Roman" w:hAnsi="Times New Roman" w:cs="Times New Roman"/>
          <w:sz w:val="24"/>
          <w:szCs w:val="24"/>
        </w:rPr>
        <w:t>.</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Box Two holds many colorful illustrations of martial items, including various campaign jackets (</w:t>
      </w:r>
      <w:r w:rsidRPr="00D07FF2">
        <w:rPr>
          <w:rFonts w:ascii="Times New Roman" w:hAnsi="Times New Roman" w:cs="Times New Roman"/>
          <w:i/>
          <w:iCs/>
          <w:sz w:val="24"/>
          <w:szCs w:val="24"/>
        </w:rPr>
        <w:t>jinbaori</w:t>
      </w:r>
      <w:r w:rsidRPr="00D07FF2">
        <w:rPr>
          <w:rFonts w:ascii="Times New Roman" w:hAnsi="Times New Roman" w:cs="Times New Roman"/>
          <w:sz w:val="24"/>
          <w:szCs w:val="24"/>
        </w:rPr>
        <w:t>) that were worn over armor to protect samurai from wind and rain. Tsunanori likely wanted to collect the jackets themselves, but as they were symbols of rank for their samurai owners, it was impossible for him to acquire them. Instead, Tsunanori had the campaign jackets carefully depicted on paper and stored the illustrations in the Hyakkō Hishō collection.</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Many of the boxes contain actual items—not samples—that ha</w:t>
      </w:r>
      <w:r>
        <w:rPr>
          <w:rFonts w:ascii="Times New Roman" w:hAnsi="Times New Roman" w:cs="Times New Roman"/>
          <w:sz w:val="24"/>
          <w:szCs w:val="24"/>
        </w:rPr>
        <w:t>ve</w:t>
      </w:r>
      <w:r w:rsidRPr="00D07FF2">
        <w:rPr>
          <w:rFonts w:ascii="Times New Roman" w:hAnsi="Times New Roman" w:cs="Times New Roman"/>
          <w:sz w:val="24"/>
          <w:szCs w:val="24"/>
        </w:rPr>
        <w:t xml:space="preserve"> seen practical use. Boxes Three and Four contain metal fittings, Boxes Five and Six contain ornamental nail covers, and Box Seven holds intricately designed drawer handles. The remaining boxes contain decorative finials, samples of wood and leather, drawings of drawer knobs and nail covers, blueprints, and items that </w:t>
      </w:r>
      <w:r>
        <w:rPr>
          <w:rFonts w:ascii="Times New Roman" w:hAnsi="Times New Roman" w:cs="Times New Roman"/>
          <w:sz w:val="24"/>
          <w:szCs w:val="24"/>
        </w:rPr>
        <w:t>were never</w:t>
      </w:r>
      <w:r w:rsidRPr="00D07FF2">
        <w:rPr>
          <w:rFonts w:ascii="Times New Roman" w:hAnsi="Times New Roman" w:cs="Times New Roman"/>
          <w:sz w:val="24"/>
          <w:szCs w:val="24"/>
        </w:rPr>
        <w:t xml:space="preserve"> properly organized and stored.</w:t>
      </w:r>
    </w:p>
    <w:p w:rsidR="00FA7D92" w:rsidRPr="00D07FF2" w:rsidRDefault="00FA7D92" w:rsidP="00FA7D92">
      <w:pPr>
        <w:jc w:val="left"/>
        <w:rPr>
          <w:rFonts w:ascii="Times New Roman" w:hAnsi="Times New Roman" w:cs="Times New Roman"/>
          <w:sz w:val="24"/>
          <w:szCs w:val="24"/>
        </w:rPr>
      </w:pPr>
    </w:p>
    <w:p w:rsidR="00FA7D92" w:rsidRPr="00D07FF2" w:rsidRDefault="00FA7D92" w:rsidP="00FA7D92">
      <w:pPr>
        <w:jc w:val="left"/>
        <w:rPr>
          <w:rFonts w:ascii="Times New Roman" w:hAnsi="Times New Roman" w:cs="Times New Roman"/>
          <w:sz w:val="24"/>
          <w:szCs w:val="24"/>
        </w:rPr>
      </w:pPr>
      <w:r w:rsidRPr="00D07FF2">
        <w:rPr>
          <w:rFonts w:ascii="Times New Roman" w:hAnsi="Times New Roman" w:cs="Times New Roman"/>
          <w:sz w:val="24"/>
          <w:szCs w:val="24"/>
        </w:rPr>
        <w:t>The gold and enameled nail covers in Box Six are particularly splendid. Some are designed to resemble cages containing birds or insects; others show flowers blooming from the cages. The nail covers were interior decorative fixtures in the Maeda family residence in Edo before being added to the Hyakkō Hishō.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D92"/>
    <w:rsid w:val="00444234"/>
    <w:rsid w:val="00C42597"/>
    <w:rsid w:val="00FA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1B4B26-5980-4D81-821D-E8832DC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7D92"/>
    <w:rPr>
      <w:sz w:val="18"/>
      <w:szCs w:val="18"/>
    </w:rPr>
  </w:style>
  <w:style w:type="paragraph" w:styleId="Web">
    <w:name w:val="Normal (Web)"/>
    <w:basedOn w:val="a"/>
    <w:uiPriority w:val="99"/>
    <w:unhideWhenUsed/>
    <w:rsid w:val="00FA7D92"/>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