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E40" w:rsidRPr="007952F2" w:rsidRDefault="001C0E40" w:rsidP="001C0E4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b/>
          <w:bCs/>
          <w:shd w:val="clear" w:color="auto" w:fill="FFFFFF"/>
        </w:rPr>
        <w:t>Matchlock Mechanisms</w:t>
      </w:r>
    </w:p>
    <w:p/>
    <w:p w:rsidR="001C0E40" w:rsidRPr="007952F2" w:rsidRDefault="001C0E40" w:rsidP="001C0E40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Many of the earliest guns </w:t>
      </w:r>
      <w:r>
        <w:rPr>
          <w:rFonts w:ascii="Times New Roman" w:hAnsi="Times New Roman"/>
          <w:shd w:val="clear" w:color="auto" w:fill="FFFFFF"/>
        </w:rPr>
        <w:t xml:space="preserve">had very simple designs. They </w:t>
      </w:r>
      <w:r w:rsidRPr="007952F2">
        <w:rPr>
          <w:rFonts w:ascii="Times New Roman" w:hAnsi="Times New Roman"/>
          <w:shd w:val="clear" w:color="auto" w:fill="FFFFFF"/>
        </w:rPr>
        <w:t xml:space="preserve">were fired by applying a flame directly to the gunpowder inside, typically through a small hole in the back of the barrel. This method was fine for stationary cannons but awkward for handheld weapons. Matchlocks made aiming and shooting easier through the addition of a spring-loaded arm called a </w:t>
      </w:r>
      <w:r>
        <w:rPr>
          <w:rFonts w:ascii="Times New Roman" w:hAnsi="Times New Roman"/>
          <w:shd w:val="clear" w:color="auto" w:fill="FFFFFF"/>
        </w:rPr>
        <w:t>“</w:t>
      </w:r>
      <w:r w:rsidRPr="007952F2">
        <w:rPr>
          <w:rFonts w:ascii="Times New Roman" w:hAnsi="Times New Roman"/>
          <w:shd w:val="clear" w:color="auto" w:fill="FFFFFF"/>
        </w:rPr>
        <w:t>serpentine.</w:t>
      </w:r>
      <w:r>
        <w:rPr>
          <w:rFonts w:ascii="Times New Roman" w:hAnsi="Times New Roman"/>
          <w:shd w:val="clear" w:color="auto" w:fill="FFFFFF"/>
        </w:rPr>
        <w:t>”</w:t>
      </w:r>
      <w:r w:rsidRPr="007952F2">
        <w:rPr>
          <w:rFonts w:ascii="Times New Roman" w:hAnsi="Times New Roman"/>
          <w:shd w:val="clear" w:color="auto" w:fill="FFFFFF"/>
        </w:rPr>
        <w:t xml:space="preserve"> The serpentine held a lit match cord; when the gunner pulled the trigger, the arm snapped forward and ignited a pan of priming powder. The flash set off the main gunpowder charge inside the barrel and fired the gun.</w:t>
      </w:r>
    </w:p>
    <w:p w:rsidR="001C0E40" w:rsidRDefault="001C0E40" w:rsidP="001C0E40">
      <w:pPr>
        <w:pStyle w:val="Default"/>
        <w:spacing w:before="0" w:line="0" w:lineRule="atLeast"/>
        <w:ind w:firstLine="379"/>
        <w:rPr>
          <w:rFonts w:ascii="Times New Roman" w:hAnsi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There are many variations on the basic matchlock design, and Japanese gunsmiths introduced their own innovations. As with many technologies, more complex versions </w:t>
      </w:r>
      <w:r>
        <w:rPr>
          <w:rFonts w:ascii="Times New Roman" w:hAnsi="Times New Roman"/>
          <w:shd w:val="clear" w:color="auto" w:fill="FFFFFF"/>
        </w:rPr>
        <w:t>had</w:t>
      </w:r>
      <w:r w:rsidRPr="007952F2">
        <w:rPr>
          <w:rFonts w:ascii="Times New Roman" w:hAnsi="Times New Roman"/>
          <w:shd w:val="clear" w:color="auto" w:fill="FFFFFF"/>
        </w:rPr>
        <w:t xml:space="preserve"> more features but could be expensive and difficult to maintain.</w:t>
      </w:r>
    </w:p>
    <w:tbl>
      <w:tblPr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b/>
                <w:bCs/>
                <w:sz w:val="24"/>
                <w:szCs w:val="24"/>
              </w:rPr>
              <w:t>JPN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b/>
                <w:bCs/>
                <w:sz w:val="24"/>
                <w:szCs w:val="24"/>
              </w:rPr>
              <w:t>ENG</w:t>
            </w:r>
          </w:p>
        </w:tc>
      </w:tr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  <w:rPr>
                <w:rFonts w:ascii="Meiryo UI" w:eastAsia="Meiryo UI" w:hAnsi="Meiryo UI"/>
              </w:rPr>
            </w:pPr>
            <w:r w:rsidRPr="007952F2">
              <w:rPr>
                <w:rFonts w:ascii="Meiryo UI" w:eastAsia="Meiryo UI" w:hAnsi="Meiryo UI" w:hint="eastAsia"/>
                <w:sz w:val="24"/>
                <w:szCs w:val="24"/>
                <w:lang w:val="ja-JP"/>
              </w:rPr>
              <w:t>カラクリ</w:t>
            </w:r>
            <w:r w:rsidRPr="007952F2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Pr="007952F2">
              <w:rPr>
                <w:rFonts w:ascii="Meiryo UI" w:eastAsia="Meiryo UI" w:hAnsi="Meiryo UI" w:hint="eastAsia"/>
                <w:sz w:val="24"/>
                <w:szCs w:val="24"/>
                <w:lang w:val="ja-JP"/>
              </w:rPr>
              <w:t>火縄銃の機関部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sz w:val="24"/>
                <w:szCs w:val="24"/>
              </w:rPr>
              <w:t>Parts of a Matchlock Mechanism</w:t>
            </w:r>
          </w:p>
        </w:tc>
      </w:tr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  <w:rPr>
                <w:rFonts w:ascii="Meiryo UI" w:eastAsia="Meiryo UI" w:hAnsi="Meiryo UI"/>
              </w:rPr>
            </w:pPr>
            <w:r w:rsidRPr="007952F2">
              <w:rPr>
                <w:rFonts w:ascii="Meiryo UI" w:eastAsia="Meiryo UI" w:hAnsi="Meiryo UI" w:hint="eastAsia"/>
                <w:sz w:val="24"/>
                <w:szCs w:val="24"/>
                <w:lang w:val="ja-JP"/>
              </w:rPr>
              <w:t>点火した火縄をつけた火ばさみ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sz w:val="24"/>
                <w:szCs w:val="24"/>
              </w:rPr>
              <w:t>Serpentine with lit match cord</w:t>
            </w:r>
          </w:p>
        </w:tc>
      </w:tr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  <w:rPr>
                <w:rFonts w:ascii="Meiryo UI" w:eastAsia="Meiryo UI" w:hAnsi="Meiryo UI"/>
              </w:rPr>
            </w:pPr>
            <w:r w:rsidRPr="007952F2">
              <w:rPr>
                <w:rFonts w:ascii="Meiryo UI" w:eastAsia="Meiryo UI" w:hAnsi="Meiryo UI" w:hint="eastAsia"/>
                <w:sz w:val="24"/>
                <w:szCs w:val="24"/>
                <w:lang w:val="ja-JP"/>
              </w:rPr>
              <w:t>平からくり（レプリカ）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sz w:val="24"/>
                <w:szCs w:val="24"/>
              </w:rPr>
              <w:t xml:space="preserve">A basic </w:t>
            </w:r>
            <w:r w:rsidRPr="007952F2">
              <w:rPr>
                <w:rFonts w:ascii="Times New Roman" w:hAnsi="Times New Roman"/>
                <w:i/>
                <w:iCs/>
                <w:sz w:val="24"/>
                <w:szCs w:val="24"/>
              </w:rPr>
              <w:t>hira-karakuri</w:t>
            </w:r>
            <w:r w:rsidRPr="007952F2">
              <w:rPr>
                <w:rFonts w:ascii="Times New Roman" w:hAnsi="Times New Roman"/>
                <w:sz w:val="24"/>
                <w:szCs w:val="24"/>
              </w:rPr>
              <w:t xml:space="preserve"> lock mechanism</w:t>
            </w:r>
          </w:p>
        </w:tc>
      </w:tr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  <w:rPr>
                <w:rFonts w:ascii="Meiryo UI" w:eastAsia="Meiryo UI" w:hAnsi="Meiryo UI"/>
              </w:rPr>
            </w:pPr>
            <w:r w:rsidRPr="007952F2">
              <w:rPr>
                <w:rFonts w:ascii="Meiryo UI" w:eastAsia="Meiryo UI" w:hAnsi="Meiryo UI" w:hint="eastAsia"/>
                <w:sz w:val="24"/>
                <w:szCs w:val="24"/>
                <w:lang w:val="ja-JP"/>
              </w:rPr>
              <w:t>カニの目かき内からくり（レプリカ）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sz w:val="24"/>
                <w:szCs w:val="24"/>
              </w:rPr>
              <w:t xml:space="preserve">An internally mounted </w:t>
            </w:r>
            <w:r w:rsidRPr="007952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uchi-karakuri </w:t>
            </w:r>
            <w:r w:rsidRPr="007952F2">
              <w:rPr>
                <w:rFonts w:ascii="Times New Roman" w:hAnsi="Times New Roman"/>
                <w:sz w:val="24"/>
                <w:szCs w:val="24"/>
              </w:rPr>
              <w:t>lock mechanism</w:t>
            </w:r>
          </w:p>
        </w:tc>
      </w:tr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  <w:rPr>
                <w:rFonts w:ascii="Meiryo UI" w:eastAsia="Meiryo UI" w:hAnsi="Meiryo UI"/>
              </w:rPr>
            </w:pPr>
            <w:r w:rsidRPr="007952F2">
              <w:rPr>
                <w:rFonts w:ascii="Meiryo UI" w:eastAsia="Meiryo UI" w:hAnsi="Meiryo UI" w:hint="eastAsia"/>
                <w:sz w:val="24"/>
                <w:szCs w:val="24"/>
                <w:lang w:val="ja-JP"/>
              </w:rPr>
              <w:t>外記からくり（レプリカ）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A </w:t>
            </w:r>
            <w:r w:rsidRPr="007952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geki-karakuri </w:t>
            </w:r>
            <w:r w:rsidRPr="007952F2">
              <w:rPr>
                <w:rFonts w:ascii="Times New Roman" w:hAnsi="Times New Roman"/>
                <w:sz w:val="24"/>
                <w:szCs w:val="24"/>
              </w:rPr>
              <w:t>lock mechanism with coiled spring</w:t>
            </w:r>
          </w:p>
        </w:tc>
      </w:tr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  <w:rPr>
                <w:rFonts w:ascii="Meiryo UI" w:eastAsia="Meiryo UI" w:hAnsi="Meiryo UI"/>
              </w:rPr>
            </w:pPr>
            <w:r w:rsidRPr="007952F2">
              <w:rPr>
                <w:rFonts w:ascii="Meiryo UI" w:eastAsia="Meiryo UI" w:hAnsi="Meiryo UI" w:hint="eastAsia"/>
                <w:sz w:val="24"/>
                <w:szCs w:val="24"/>
                <w:lang w:val="ja-JP"/>
              </w:rPr>
              <w:t>引き金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sz w:val="24"/>
                <w:szCs w:val="24"/>
              </w:rPr>
              <w:t>Trigger</w:t>
            </w:r>
          </w:p>
        </w:tc>
      </w:tr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  <w:rPr>
                <w:rFonts w:ascii="Meiryo UI" w:eastAsia="Meiryo UI" w:hAnsi="Meiryo UI"/>
              </w:rPr>
            </w:pPr>
            <w:r w:rsidRPr="007952F2">
              <w:rPr>
                <w:rFonts w:ascii="Meiryo UI" w:eastAsia="Meiryo UI" w:hAnsi="Meiryo UI" w:hint="eastAsia"/>
                <w:sz w:val="24"/>
                <w:szCs w:val="24"/>
                <w:lang w:val="ja-JP"/>
              </w:rPr>
              <w:t>地板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sz w:val="24"/>
                <w:szCs w:val="24"/>
              </w:rPr>
              <w:t>Lock plate</w:t>
            </w:r>
          </w:p>
        </w:tc>
      </w:tr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  <w:rPr>
                <w:rFonts w:ascii="Meiryo UI" w:eastAsia="Meiryo UI" w:hAnsi="Meiryo UI"/>
              </w:rPr>
            </w:pPr>
            <w:r w:rsidRPr="007952F2">
              <w:rPr>
                <w:rFonts w:ascii="Meiryo UI" w:eastAsia="Meiryo UI" w:hAnsi="Meiryo UI" w:hint="eastAsia"/>
                <w:sz w:val="24"/>
                <w:szCs w:val="24"/>
                <w:lang w:val="ja-JP"/>
              </w:rPr>
              <w:t>カニの目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sz w:val="24"/>
                <w:szCs w:val="24"/>
              </w:rPr>
              <w:t>“Crab eye” (</w:t>
            </w:r>
            <w:r w:rsidRPr="007952F2">
              <w:rPr>
                <w:rFonts w:ascii="Times New Roman" w:hAnsi="Times New Roman"/>
                <w:i/>
                <w:iCs/>
                <w:sz w:val="24"/>
                <w:szCs w:val="24"/>
              </w:rPr>
              <w:t>kani-no-me</w:t>
            </w:r>
            <w:r w:rsidRPr="007952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  <w:rPr>
                <w:rFonts w:ascii="Meiryo UI" w:eastAsia="Meiryo UI" w:hAnsi="Meiryo UI"/>
              </w:rPr>
            </w:pPr>
            <w:r w:rsidRPr="007952F2">
              <w:rPr>
                <w:rFonts w:ascii="Meiryo UI" w:eastAsia="Meiryo UI" w:hAnsi="Meiryo UI" w:cs="ＭＳ 明朝"/>
                <w:sz w:val="24"/>
                <w:szCs w:val="24"/>
                <w:lang w:val="ja-JP"/>
              </w:rPr>
              <w:t>火縄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sz w:val="24"/>
                <w:szCs w:val="24"/>
              </w:rPr>
              <w:t>Match cord</w:t>
            </w:r>
          </w:p>
        </w:tc>
      </w:tr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  <w:rPr>
                <w:rFonts w:ascii="Meiryo UI" w:eastAsia="Meiryo UI" w:hAnsi="Meiryo UI"/>
              </w:rPr>
            </w:pPr>
            <w:r w:rsidRPr="007952F2">
              <w:rPr>
                <w:rFonts w:ascii="Meiryo UI" w:eastAsia="Meiryo UI" w:hAnsi="Meiryo UI" w:cs="ＭＳ 明朝"/>
                <w:sz w:val="24"/>
                <w:szCs w:val="24"/>
                <w:lang w:val="ja-JP"/>
              </w:rPr>
              <w:t>火ばさみ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sz w:val="24"/>
                <w:szCs w:val="24"/>
              </w:rPr>
              <w:t>Serpentine (holds the match cord)</w:t>
            </w:r>
          </w:p>
        </w:tc>
      </w:tr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  <w:rPr>
                <w:rFonts w:ascii="Meiryo UI" w:eastAsia="Meiryo UI" w:hAnsi="Meiryo UI"/>
              </w:rPr>
            </w:pPr>
            <w:r w:rsidRPr="007952F2">
              <w:rPr>
                <w:rFonts w:ascii="Meiryo UI" w:eastAsia="Meiryo UI" w:hAnsi="Meiryo UI" w:hint="eastAsia"/>
                <w:sz w:val="24"/>
                <w:szCs w:val="24"/>
                <w:lang w:val="ja-JP"/>
              </w:rPr>
              <w:t>胴金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sz w:val="24"/>
                <w:szCs w:val="24"/>
              </w:rPr>
              <w:t>Lock band</w:t>
            </w:r>
          </w:p>
        </w:tc>
      </w:tr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  <w:rPr>
                <w:rFonts w:ascii="Meiryo UI" w:eastAsia="Meiryo UI" w:hAnsi="Meiryo UI"/>
              </w:rPr>
            </w:pPr>
            <w:r w:rsidRPr="007952F2">
              <w:rPr>
                <w:rFonts w:ascii="Meiryo UI" w:eastAsia="Meiryo UI" w:hAnsi="Meiryo UI" w:hint="eastAsia"/>
                <w:sz w:val="24"/>
                <w:szCs w:val="24"/>
                <w:lang w:val="ja-JP"/>
              </w:rPr>
              <w:t>弾き金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sz w:val="24"/>
                <w:szCs w:val="24"/>
              </w:rPr>
              <w:t>Mainspring</w:t>
            </w:r>
          </w:p>
        </w:tc>
      </w:tr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  <w:rPr>
                <w:rFonts w:ascii="Meiryo UI" w:eastAsia="Meiryo UI" w:hAnsi="Meiryo UI"/>
              </w:rPr>
            </w:pPr>
            <w:r w:rsidRPr="007952F2">
              <w:rPr>
                <w:rFonts w:ascii="Meiryo UI" w:eastAsia="Meiryo UI" w:hAnsi="Meiryo UI" w:hint="eastAsia"/>
                <w:sz w:val="24"/>
                <w:szCs w:val="24"/>
                <w:lang w:val="ja-JP"/>
              </w:rPr>
              <w:t>火皿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sz w:val="24"/>
                <w:szCs w:val="24"/>
              </w:rPr>
              <w:t>Priming pan</w:t>
            </w:r>
          </w:p>
        </w:tc>
      </w:tr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  <w:rPr>
                <w:rFonts w:ascii="Meiryo UI" w:eastAsia="Meiryo UI" w:hAnsi="Meiryo UI"/>
              </w:rPr>
            </w:pPr>
            <w:r w:rsidRPr="007952F2">
              <w:rPr>
                <w:rFonts w:ascii="Meiryo UI" w:eastAsia="Meiryo UI" w:hAnsi="Meiryo UI" w:hint="eastAsia"/>
                <w:sz w:val="24"/>
                <w:szCs w:val="24"/>
                <w:lang w:val="ja-JP"/>
              </w:rPr>
              <w:t>火ぶた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 w:rsidRPr="007952F2">
              <w:rPr>
                <w:rFonts w:ascii="Times New Roman" w:hAnsi="Times New Roman"/>
                <w:sz w:val="24"/>
                <w:szCs w:val="24"/>
              </w:rPr>
              <w:t>Pan cover</w:t>
            </w:r>
          </w:p>
        </w:tc>
      </w:tr>
      <w:tr w:rsidR="001C0E40" w:rsidRPr="007952F2" w:rsidTr="00D30659">
        <w:trPr>
          <w:trHeight w:val="5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  <w:rPr>
                <w:rFonts w:ascii="Meiryo UI" w:eastAsia="Meiryo UI" w:hAnsi="Meiryo UI"/>
              </w:rPr>
            </w:pPr>
            <w:r w:rsidRPr="007952F2">
              <w:rPr>
                <w:rFonts w:ascii="Meiryo UI" w:eastAsia="Meiryo UI" w:hAnsi="Meiryo UI" w:hint="eastAsia"/>
                <w:sz w:val="24"/>
                <w:szCs w:val="24"/>
                <w:lang w:val="ja-JP"/>
              </w:rPr>
              <w:t>平からくりの機構と作動の仕組み</w:t>
            </w:r>
            <w:r w:rsidRPr="007952F2">
              <w:rPr>
                <w:rFonts w:ascii="Meiryo UI" w:eastAsia="Meiryo UI" w:hAnsi="Meiryo UI"/>
                <w:sz w:val="24"/>
                <w:szCs w:val="24"/>
              </w:rPr>
              <w:t xml:space="preserve"> (←)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0E40" w:rsidRPr="007952F2" w:rsidRDefault="001C0E40" w:rsidP="00D30659">
            <w:pPr>
              <w:pStyle w:val="TableStyle2A"/>
              <w:spacing w:line="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Movement of a</w:t>
            </w:r>
            <w:r w:rsidRPr="00795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2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hira-karakuri </w:t>
            </w:r>
            <w:r w:rsidRPr="007952F2">
              <w:rPr>
                <w:rFonts w:ascii="Times New Roman" w:hAnsi="Times New Roman"/>
                <w:sz w:val="24"/>
                <w:szCs w:val="24"/>
              </w:rPr>
              <w:t>lock (←)</w:t>
            </w:r>
          </w:p>
        </w:tc>
      </w:tr>
    </w:tbl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E40"/>
    <w:rsid w:val="001C0E4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6A924-1C5C-4FAE-B346-9229E122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E4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  <w:style w:type="paragraph" w:customStyle="1" w:styleId="TableStyle2A">
    <w:name w:val="Table Style 2 A"/>
    <w:rsid w:val="001C0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kern w:val="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2023-07-11T05:29:00Z</dcterms:created>
  <dcterms:modified xsi:type="dcterms:W3CDTF">2023-07-11T05:29:00Z</dcterms:modified>
</cp:coreProperties>
</file>