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925" w:rsidRPr="006268B2" w:rsidRDefault="00651925" w:rsidP="00651925">
      <w:pPr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268B2">
        <w:rPr>
          <w:rFonts w:ascii="Times New Roman" w:hAnsi="Times New Roman" w:cs="Times New Roman"/>
          <w:b/>
          <w:bCs/>
          <w:sz w:val="24"/>
          <w:szCs w:val="24"/>
        </w:rPr>
        <w:t>Imagining the Ninomaru Goten</w:t>
      </w:r>
    </w:p>
    <w:p/>
    <w:p w:rsidR="00651925" w:rsidRDefault="00651925" w:rsidP="0065192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268B2">
        <w:rPr>
          <w:rFonts w:ascii="Times New Roman" w:hAnsi="Times New Roman" w:cs="Times New Roman"/>
          <w:sz w:val="24"/>
          <w:szCs w:val="24"/>
        </w:rPr>
        <w:t>This is the former site of the Ninomaru Goten, one of three administrative and residential buildings (</w:t>
      </w:r>
      <w:r w:rsidRPr="006268B2">
        <w:rPr>
          <w:rFonts w:ascii="Times New Roman" w:hAnsi="Times New Roman" w:cs="Times New Roman"/>
          <w:i/>
          <w:iCs/>
          <w:sz w:val="24"/>
          <w:szCs w:val="24"/>
        </w:rPr>
        <w:t>goten</w:t>
      </w:r>
      <w:r w:rsidRPr="006268B2">
        <w:rPr>
          <w:rFonts w:ascii="Times New Roman" w:hAnsi="Times New Roman" w:cs="Times New Roman"/>
          <w:sz w:val="24"/>
          <w:szCs w:val="24"/>
        </w:rPr>
        <w:t>) that were part of the castle comp</w:t>
      </w:r>
      <w:r>
        <w:rPr>
          <w:rFonts w:ascii="Times New Roman" w:hAnsi="Times New Roman" w:cs="Times New Roman"/>
          <w:sz w:val="24"/>
          <w:szCs w:val="24"/>
        </w:rPr>
        <w:t>lex</w:t>
      </w:r>
      <w:r w:rsidRPr="006268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contrast to the castle itself, which was sparsely occupied during peacetime, </w:t>
      </w:r>
      <w:r w:rsidRPr="006268B2">
        <w:rPr>
          <w:rFonts w:ascii="Times New Roman" w:hAnsi="Times New Roman" w:cs="Times New Roman"/>
          <w:sz w:val="24"/>
          <w:szCs w:val="24"/>
        </w:rPr>
        <w:t xml:space="preserve">the </w:t>
      </w:r>
      <w:r w:rsidRPr="006268B2">
        <w:rPr>
          <w:rFonts w:ascii="Times New Roman" w:hAnsi="Times New Roman" w:cs="Times New Roman"/>
          <w:i/>
          <w:iCs/>
          <w:sz w:val="24"/>
          <w:szCs w:val="24"/>
        </w:rPr>
        <w:t>goten</w:t>
      </w:r>
      <w:r w:rsidRPr="006268B2">
        <w:rPr>
          <w:rFonts w:ascii="Times New Roman" w:hAnsi="Times New Roman" w:cs="Times New Roman"/>
          <w:sz w:val="24"/>
          <w:szCs w:val="24"/>
        </w:rPr>
        <w:t xml:space="preserve"> were centers of activity. They </w:t>
      </w:r>
      <w:r>
        <w:rPr>
          <w:rFonts w:ascii="Times New Roman" w:hAnsi="Times New Roman" w:cs="Times New Roman"/>
          <w:sz w:val="24"/>
          <w:szCs w:val="24"/>
        </w:rPr>
        <w:t>contained</w:t>
      </w:r>
      <w:r w:rsidRPr="006268B2">
        <w:rPr>
          <w:rFonts w:ascii="Times New Roman" w:hAnsi="Times New Roman" w:cs="Times New Roman"/>
          <w:sz w:val="24"/>
          <w:szCs w:val="24"/>
        </w:rPr>
        <w:t xml:space="preserve"> living space for the castle lord, as well as offices and meeting rooms. The Ninomaru Goten was the second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8B2">
        <w:rPr>
          <w:rFonts w:ascii="Times New Roman" w:hAnsi="Times New Roman" w:cs="Times New Roman"/>
          <w:sz w:val="24"/>
          <w:szCs w:val="24"/>
        </w:rPr>
        <w:t xml:space="preserve">largest of the </w:t>
      </w:r>
      <w:r w:rsidRPr="006268B2">
        <w:rPr>
          <w:rFonts w:ascii="Times New Roman" w:hAnsi="Times New Roman" w:cs="Times New Roman"/>
          <w:i/>
          <w:iCs/>
          <w:sz w:val="24"/>
          <w:szCs w:val="24"/>
        </w:rPr>
        <w:t>goten</w:t>
      </w:r>
      <w:r w:rsidRPr="006268B2">
        <w:rPr>
          <w:rFonts w:ascii="Times New Roman" w:hAnsi="Times New Roman" w:cs="Times New Roman"/>
          <w:sz w:val="24"/>
          <w:szCs w:val="24"/>
        </w:rPr>
        <w:t xml:space="preserve"> buildings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c</w:t>
      </w:r>
      <w:r w:rsidRPr="006268B2">
        <w:rPr>
          <w:rFonts w:ascii="Times New Roman" w:hAnsi="Times New Roman" w:cs="Times New Roman"/>
          <w:sz w:val="24"/>
          <w:szCs w:val="24"/>
        </w:rPr>
        <w:t>ompris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268B2">
        <w:rPr>
          <w:rFonts w:ascii="Times New Roman" w:hAnsi="Times New Roman" w:cs="Times New Roman"/>
          <w:sz w:val="24"/>
          <w:szCs w:val="24"/>
        </w:rPr>
        <w:t xml:space="preserve"> approximately 50 rooms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268B2">
        <w:rPr>
          <w:rFonts w:ascii="Times New Roman" w:hAnsi="Times New Roman" w:cs="Times New Roman"/>
          <w:sz w:val="24"/>
          <w:szCs w:val="24"/>
        </w:rPr>
        <w:t xml:space="preserve"> cover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268B2">
        <w:rPr>
          <w:rFonts w:ascii="Times New Roman" w:hAnsi="Times New Roman" w:cs="Times New Roman"/>
          <w:sz w:val="24"/>
          <w:szCs w:val="24"/>
        </w:rPr>
        <w:t xml:space="preserve"> roughly 1,980 square meters of the second bailey. </w:t>
      </w:r>
    </w:p>
    <w:p w:rsidR="00651925" w:rsidRPr="006268B2" w:rsidRDefault="00651925" w:rsidP="00651925">
      <w:pPr>
        <w:spacing w:line="0" w:lineRule="atLeas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6268B2">
        <w:rPr>
          <w:rFonts w:ascii="Times New Roman" w:hAnsi="Times New Roman" w:cs="Times New Roman"/>
          <w:sz w:val="24"/>
          <w:szCs w:val="24"/>
        </w:rPr>
        <w:t>The Ninomaru Goten was originally a</w:t>
      </w:r>
      <w:r>
        <w:rPr>
          <w:rFonts w:ascii="Times New Roman" w:hAnsi="Times New Roman" w:cs="Times New Roman"/>
          <w:sz w:val="24"/>
          <w:szCs w:val="24"/>
        </w:rPr>
        <w:t>n auxiliary</w:t>
      </w:r>
      <w:r w:rsidRPr="006268B2">
        <w:rPr>
          <w:rFonts w:ascii="Times New Roman" w:hAnsi="Times New Roman" w:cs="Times New Roman"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z w:val="24"/>
          <w:szCs w:val="24"/>
        </w:rPr>
        <w:t xml:space="preserve"> of the Honmaru Goten.</w:t>
      </w:r>
      <w:r w:rsidRPr="0062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268B2">
        <w:rPr>
          <w:rFonts w:ascii="Times New Roman" w:hAnsi="Times New Roman" w:cs="Times New Roman"/>
          <w:sz w:val="24"/>
          <w:szCs w:val="24"/>
        </w:rPr>
        <w:t xml:space="preserve">t became the castle’s primary </w:t>
      </w:r>
      <w:r>
        <w:rPr>
          <w:rFonts w:ascii="Times New Roman" w:hAnsi="Times New Roman" w:cs="Times New Roman"/>
          <w:i/>
          <w:iCs/>
          <w:sz w:val="24"/>
          <w:szCs w:val="24"/>
        </w:rPr>
        <w:t>goten</w:t>
      </w:r>
      <w:r w:rsidRPr="006268B2">
        <w:rPr>
          <w:rFonts w:ascii="Times New Roman" w:hAnsi="Times New Roman" w:cs="Times New Roman"/>
          <w:sz w:val="24"/>
          <w:szCs w:val="24"/>
        </w:rPr>
        <w:t xml:space="preserve"> after the Honmaru Goten burned down in 1727.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6268B2">
        <w:rPr>
          <w:rFonts w:ascii="Times New Roman" w:hAnsi="Times New Roman" w:cs="Times New Roman"/>
          <w:sz w:val="24"/>
          <w:szCs w:val="24"/>
        </w:rPr>
        <w:t>he Ninomaru Goten</w:t>
      </w:r>
      <w:r>
        <w:rPr>
          <w:rFonts w:ascii="Times New Roman" w:hAnsi="Times New Roman" w:cs="Times New Roman"/>
          <w:sz w:val="24"/>
          <w:szCs w:val="24"/>
        </w:rPr>
        <w:t xml:space="preserve">, too, burned down in 1876, and the site was excavated in 1979. The building’s layout </w:t>
      </w:r>
      <w:r w:rsidRPr="006268B2">
        <w:rPr>
          <w:rFonts w:ascii="Times New Roman" w:hAnsi="Times New Roman" w:cs="Times New Roman"/>
          <w:sz w:val="24"/>
          <w:szCs w:val="24"/>
        </w:rPr>
        <w:t xml:space="preserve">is now marked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6268B2">
        <w:rPr>
          <w:rFonts w:ascii="Times New Roman" w:hAnsi="Times New Roman" w:cs="Times New Roman"/>
          <w:sz w:val="24"/>
          <w:szCs w:val="24"/>
        </w:rPr>
        <w:t xml:space="preserve"> stone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62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Grassy areas indicate rooms that once had tatami flooring, while red pavement denotes verandas, or areas with wooden floors. </w:t>
      </w:r>
      <w:r w:rsidRPr="006268B2">
        <w:rPr>
          <w:rFonts w:ascii="Times New Roman" w:hAnsi="Times New Roman" w:cs="Times New Roman"/>
          <w:sz w:val="24"/>
          <w:szCs w:val="24"/>
        </w:rPr>
        <w:t xml:space="preserve">Visitors to the Ninomaru Goten would have entered through the </w:t>
      </w:r>
      <w:r w:rsidRPr="006268B2">
        <w:rPr>
          <w:rFonts w:ascii="Times New Roman" w:hAnsi="Times New Roman" w:cs="Times New Roman"/>
          <w:i/>
          <w:iCs/>
          <w:sz w:val="24"/>
          <w:szCs w:val="24"/>
        </w:rPr>
        <w:t>shikidai</w:t>
      </w:r>
      <w:r w:rsidRPr="0062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porch </w:t>
      </w:r>
      <w:r w:rsidRPr="006268B2">
        <w:rPr>
          <w:rFonts w:ascii="Times New Roman" w:hAnsi="Times New Roman" w:cs="Times New Roman"/>
          <w:sz w:val="24"/>
          <w:szCs w:val="24"/>
        </w:rPr>
        <w:t>on the building’s south side.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805"/>
      </w:tblGrid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玄関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Reception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広間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Audience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槍の間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Armory for guardsmen’s spears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式台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Porch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内玄関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Private reception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徒士番所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Station for low-ranking samurai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6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kachi</w:t>
            </w: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持筒番所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Armory for muskets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719F">
              <w:rPr>
                <w:rFonts w:ascii="Times New Roman" w:hAnsi="Times New Roman" w:cs="Times New Roman"/>
                <w:sz w:val="24"/>
                <w:szCs w:val="24"/>
              </w:rPr>
              <w:t>炭部屋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for storing charcoal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廊下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Corridor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小姓番所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 xml:space="preserve"> the castle lord’s attendants (</w:t>
            </w:r>
            <w:r w:rsidRPr="00626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koshō</w:t>
            </w: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書院</w:t>
            </w:r>
          </w:p>
        </w:tc>
        <w:tc>
          <w:tcPr>
            <w:tcW w:w="5805" w:type="dxa"/>
          </w:tcPr>
          <w:p w:rsidR="00651925" w:rsidRPr="00D705ED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Reception room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shoin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Del="00B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次の間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Anteroom to sitting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三の間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Sitting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入側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Tatami-floored interior corridor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51925" w:rsidRPr="00D41F89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19F">
              <w:rPr>
                <w:rFonts w:ascii="Times New Roman" w:hAnsi="Times New Roman" w:cs="Times New Roman"/>
                <w:sz w:val="24"/>
                <w:szCs w:val="24"/>
              </w:rPr>
              <w:t>坊主部屋</w:t>
            </w:r>
          </w:p>
        </w:tc>
        <w:tc>
          <w:tcPr>
            <w:tcW w:w="5805" w:type="dxa"/>
          </w:tcPr>
          <w:p w:rsidR="00651925" w:rsidRPr="00D705ED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for young male servants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bōzu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51925" w:rsidRPr="00D22004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004">
              <w:rPr>
                <w:rFonts w:ascii="Times New Roman" w:hAnsi="Times New Roman" w:cs="Times New Roman" w:hint="eastAsia"/>
                <w:sz w:val="24"/>
                <w:szCs w:val="24"/>
              </w:rPr>
              <w:t>小使番所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ervants’ quarters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51925" w:rsidRPr="00D22004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004">
              <w:rPr>
                <w:rFonts w:ascii="Times New Roman" w:hAnsi="Times New Roman" w:cs="Times New Roman" w:hint="eastAsia"/>
                <w:sz w:val="24"/>
                <w:szCs w:val="24"/>
              </w:rPr>
              <w:t>雑事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ll-purpose space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51925" w:rsidRPr="002B09AA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9AA">
              <w:rPr>
                <w:rFonts w:ascii="Times New Roman" w:hAnsi="Times New Roman" w:cs="Times New Roman"/>
                <w:sz w:val="24"/>
                <w:szCs w:val="24"/>
              </w:rPr>
              <w:t>草履取部屋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Sandal-bearer’s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51925" w:rsidRPr="002B09AA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9AA">
              <w:rPr>
                <w:rFonts w:ascii="Times New Roman" w:hAnsi="Times New Roman" w:cs="Times New Roman"/>
                <w:sz w:val="24"/>
                <w:szCs w:val="24"/>
              </w:rPr>
              <w:t>家具部屋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torage for furniture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かまど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Hearth (</w:t>
            </w:r>
            <w:r w:rsidRPr="00626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kamado</w:t>
            </w: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台所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Kitchen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E">
              <w:rPr>
                <w:rFonts w:ascii="Times New Roman" w:hAnsi="Times New Roman" w:cs="Times New Roman"/>
                <w:sz w:val="24"/>
                <w:szCs w:val="24"/>
              </w:rPr>
              <w:t>土台所</w:t>
            </w:r>
          </w:p>
        </w:tc>
        <w:tc>
          <w:tcPr>
            <w:tcW w:w="5805" w:type="dxa"/>
          </w:tcPr>
          <w:p w:rsidR="00651925" w:rsidRPr="00B2474E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Scullery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居間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32">
              <w:rPr>
                <w:rFonts w:ascii="Times New Roman" w:hAnsi="Times New Roman" w:cs="Times New Roman"/>
                <w:sz w:val="24"/>
                <w:szCs w:val="24"/>
              </w:rPr>
              <w:t>台所役所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for scullery servants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納戸部屋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for personal items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6C">
              <w:rPr>
                <w:rFonts w:ascii="Times New Roman" w:hAnsi="Times New Roman" w:cs="Times New Roman" w:hint="eastAsia"/>
                <w:sz w:val="24"/>
                <w:szCs w:val="24"/>
              </w:rPr>
              <w:t>近習番所</w:t>
            </w:r>
          </w:p>
        </w:tc>
        <w:tc>
          <w:tcPr>
            <w:tcW w:w="5805" w:type="dxa"/>
          </w:tcPr>
          <w:p w:rsidR="00651925" w:rsidRPr="00F51584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On-call room for attendants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kinju</w:t>
            </w:r>
            <w:r w:rsidRPr="00376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物置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for household items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寝間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Bedchamber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賄所役所</w:t>
            </w:r>
          </w:p>
        </w:tc>
        <w:tc>
          <w:tcPr>
            <w:tcW w:w="5805" w:type="dxa"/>
          </w:tcPr>
          <w:p w:rsidR="00651925" w:rsidRPr="00F555C1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accountant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makanaidokoro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004">
              <w:rPr>
                <w:rFonts w:ascii="Times New Roman" w:hAnsi="Times New Roman" w:cs="Times New Roman" w:hint="eastAsia"/>
                <w:sz w:val="24"/>
                <w:szCs w:val="24"/>
              </w:rPr>
              <w:t>賄所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where accounts are tallied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賄所番所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for the accountant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584">
              <w:rPr>
                <w:rFonts w:ascii="Times New Roman" w:hAnsi="Times New Roman" w:cs="Times New Roman"/>
                <w:sz w:val="24"/>
                <w:szCs w:val="24"/>
              </w:rPr>
              <w:t>近習部屋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for attendants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kinju</w:t>
            </w:r>
            <w:r w:rsidRPr="00360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3ABB">
              <w:rPr>
                <w:rFonts w:ascii="Times New Roman" w:hAnsi="Times New Roman" w:cs="Times New Roman"/>
                <w:sz w:val="24"/>
                <w:szCs w:val="24"/>
              </w:rPr>
              <w:t>用人部屋</w:t>
            </w:r>
          </w:p>
        </w:tc>
        <w:tc>
          <w:tcPr>
            <w:tcW w:w="5805" w:type="dxa"/>
          </w:tcPr>
          <w:p w:rsidR="00651925" w:rsidRPr="00FF3ABB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for lower-ranking retainers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yōnin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井戸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番所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Guardroom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金</w:t>
            </w: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reasury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雪隠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6BD2">
              <w:rPr>
                <w:rFonts w:ascii="Times New Roman" w:hAnsi="Times New Roman" w:cs="Times New Roman"/>
                <w:sz w:val="24"/>
                <w:szCs w:val="24"/>
              </w:rPr>
              <w:t>味噌部屋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for storing miso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6BD2">
              <w:rPr>
                <w:rFonts w:ascii="Times New Roman" w:hAnsi="Times New Roman" w:cs="Times New Roman"/>
                <w:sz w:val="24"/>
                <w:szCs w:val="24"/>
              </w:rPr>
              <w:t>元鎮部屋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for mid-ranking retainers (</w:t>
            </w:r>
            <w:r w:rsidRPr="00376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ganchin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925" w:rsidRPr="006268B2" w:rsidTr="00B24F3C">
        <w:tc>
          <w:tcPr>
            <w:tcW w:w="704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B2">
              <w:rPr>
                <w:rFonts w:ascii="Times New Roman" w:hAnsi="Times New Roman" w:cs="Times New Roman"/>
                <w:sz w:val="24"/>
                <w:szCs w:val="24"/>
              </w:rPr>
              <w:t>年寄部屋</w:t>
            </w:r>
          </w:p>
        </w:tc>
        <w:tc>
          <w:tcPr>
            <w:tcW w:w="5805" w:type="dxa"/>
          </w:tcPr>
          <w:p w:rsidR="00651925" w:rsidRPr="006268B2" w:rsidRDefault="00651925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for senior retainers (</w:t>
            </w:r>
            <w:r w:rsidRPr="00D41F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toshiyori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25"/>
    <w:rsid w:val="00444234"/>
    <w:rsid w:val="006519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70E33-5599-4595-AC71-5AAB089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925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2023-07-11T05:30:00Z</dcterms:created>
  <dcterms:modified xsi:type="dcterms:W3CDTF">2023-07-11T05:30:00Z</dcterms:modified>
</cp:coreProperties>
</file>