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Preserving a National Treasure</w:t>
      </w:r>
    </w:p>
    <w:p w:rsidR="00EB11FB" w:rsidRPr="000E1538" w:rsidRDefault="00EB11FB" w:rsidP="00EB11FB">
      <w:pPr>
        <w:spacing w:line="0" w:lineRule="atLeast"/>
        <w:jc w:val="left"/>
        <w:rPr>
          <w:rFonts w:ascii="Times New Roman" w:hAnsi="Times New Roman" w:cs="Times New Roman"/>
          <w:sz w:val="24"/>
          <w:szCs w:val="24"/>
        </w:rPr>
      </w:pPr>
      <w: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Becoming a National Treasure</w:t>
      </w: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Matsumoto Castle was first designated a National Historic Site in 1930. </w:t>
      </w:r>
      <w:r>
        <w:rPr>
          <w:rFonts w:ascii="Times New Roman" w:hAnsi="Times New Roman" w:cs="Times New Roman"/>
          <w:sz w:val="24"/>
          <w:szCs w:val="24"/>
        </w:rPr>
        <w:t>Six years later, i</w:t>
      </w:r>
      <w:r w:rsidRPr="000E1538">
        <w:rPr>
          <w:rFonts w:ascii="Times New Roman" w:hAnsi="Times New Roman" w:cs="Times New Roman"/>
          <w:sz w:val="24"/>
          <w:szCs w:val="24"/>
        </w:rPr>
        <w:t>t was designated a National Treasure.</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The National Treasure Preservation Act of 1929 established the criteria for qualification and the process of designation. This law was replaced during the restructuring of the legal system that </w:t>
      </w:r>
      <w:r>
        <w:rPr>
          <w:rFonts w:ascii="Times New Roman" w:hAnsi="Times New Roman" w:cs="Times New Roman"/>
          <w:sz w:val="24"/>
          <w:szCs w:val="24"/>
        </w:rPr>
        <w:t>followed</w:t>
      </w:r>
      <w:r w:rsidRPr="000E1538">
        <w:rPr>
          <w:rFonts w:ascii="Times New Roman" w:hAnsi="Times New Roman" w:cs="Times New Roman"/>
          <w:sz w:val="24"/>
          <w:szCs w:val="24"/>
        </w:rPr>
        <w:t xml:space="preserve"> World War II. As a result, any site designated under th</w:t>
      </w:r>
      <w:r>
        <w:rPr>
          <w:rFonts w:ascii="Times New Roman" w:hAnsi="Times New Roman" w:cs="Times New Roman"/>
          <w:sz w:val="24"/>
          <w:szCs w:val="24"/>
        </w:rPr>
        <w:t>e</w:t>
      </w:r>
      <w:r w:rsidRPr="000E1538">
        <w:rPr>
          <w:rFonts w:ascii="Times New Roman" w:hAnsi="Times New Roman" w:cs="Times New Roman"/>
          <w:sz w:val="24"/>
          <w:szCs w:val="24"/>
        </w:rPr>
        <w:t xml:space="preserve"> previous framework is sometimes referred to as an “Old National Treasure” to prevent confusion.</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Matsumoto Castle’s designation in 1936 was comparatively late. Sixteen castles had</w:t>
      </w:r>
      <w:r>
        <w:rPr>
          <w:rFonts w:ascii="Times New Roman" w:hAnsi="Times New Roman" w:cs="Times New Roman"/>
          <w:sz w:val="24"/>
          <w:szCs w:val="24"/>
        </w:rPr>
        <w:t xml:space="preserve"> already</w:t>
      </w:r>
      <w:r w:rsidRPr="000E1538">
        <w:rPr>
          <w:rFonts w:ascii="Times New Roman" w:hAnsi="Times New Roman" w:cs="Times New Roman"/>
          <w:sz w:val="24"/>
          <w:szCs w:val="24"/>
        </w:rPr>
        <w:t xml:space="preserve"> been designated National Treasures in 1930, the year Matsumoto Castle was made a National Historic Site. The </w:t>
      </w:r>
      <w:r>
        <w:rPr>
          <w:rFonts w:ascii="Times New Roman" w:hAnsi="Times New Roman" w:cs="Times New Roman"/>
          <w:sz w:val="24"/>
          <w:szCs w:val="24"/>
        </w:rPr>
        <w:t>16</w:t>
      </w:r>
      <w:r w:rsidRPr="000E1538">
        <w:rPr>
          <w:rFonts w:ascii="Times New Roman" w:hAnsi="Times New Roman" w:cs="Times New Roman"/>
          <w:sz w:val="24"/>
          <w:szCs w:val="24"/>
        </w:rPr>
        <w:t xml:space="preserve"> castles that preceded Matsumoto Castle were Nagoya, Himeji, Okayama, Hiroshima, Fukuyama, Sendai, Kumamoto, Shuri, Maruoka, Kōchi, Uwajima, Inuyama, Kanazawa, Wakayama, Matsue, and Matsuyama Castles.</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Sadly, many castles were destroyed by air raids during World War II, but Matsumoto Castle </w:t>
      </w:r>
      <w:r>
        <w:rPr>
          <w:rFonts w:ascii="Times New Roman" w:hAnsi="Times New Roman" w:cs="Times New Roman"/>
          <w:sz w:val="24"/>
          <w:szCs w:val="24"/>
        </w:rPr>
        <w:t>survived</w:t>
      </w:r>
      <w:r w:rsidRPr="000E1538">
        <w:rPr>
          <w:rFonts w:ascii="Times New Roman" w:hAnsi="Times New Roman" w:cs="Times New Roman"/>
          <w:sz w:val="24"/>
          <w:szCs w:val="24"/>
        </w:rPr>
        <w:t>. A new “Cultural Properties Preservation Act” was established in 1950, and Matsumoto Castle was redesignated a National Treasure just two years later. Matsumoto was the second castle to receive this designation, after Himeji Castle. At th</w:t>
      </w:r>
      <w:r>
        <w:rPr>
          <w:rFonts w:ascii="Times New Roman" w:hAnsi="Times New Roman" w:cs="Times New Roman"/>
          <w:sz w:val="24"/>
          <w:szCs w:val="24"/>
        </w:rPr>
        <w:t>e</w:t>
      </w:r>
      <w:r w:rsidRPr="000E1538">
        <w:rPr>
          <w:rFonts w:ascii="Times New Roman" w:hAnsi="Times New Roman" w:cs="Times New Roman"/>
          <w:sz w:val="24"/>
          <w:szCs w:val="24"/>
        </w:rPr>
        <w:t xml:space="preserve"> time of its designation, Matsumoto Castle was undergoing the most extensive repairs in its history.</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Preserving Matsumoto Castle</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(1) Expansion and Repairs in the Edo Period (1603–1867)</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Expansion</w:t>
      </w: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The castle’s Great Keep, the </w:t>
      </w:r>
      <w:r>
        <w:rPr>
          <w:rFonts w:ascii="Times New Roman" w:hAnsi="Times New Roman" w:cs="Times New Roman"/>
          <w:sz w:val="24"/>
          <w:szCs w:val="24"/>
        </w:rPr>
        <w:t>Northwest Tower</w:t>
      </w:r>
      <w:r w:rsidRPr="000E1538">
        <w:rPr>
          <w:rFonts w:ascii="Times New Roman" w:hAnsi="Times New Roman" w:cs="Times New Roman"/>
          <w:sz w:val="24"/>
          <w:szCs w:val="24"/>
        </w:rPr>
        <w:t>, and the Roofed Passage were built in 1594 under the rule of the Ishikawa family</w:t>
      </w:r>
      <w:r>
        <w:rPr>
          <w:rFonts w:ascii="Times New Roman" w:hAnsi="Times New Roman" w:cs="Times New Roman"/>
          <w:sz w:val="24"/>
          <w:szCs w:val="24"/>
        </w:rPr>
        <w:t>.</w:t>
      </w:r>
      <w:r w:rsidRPr="000E1538">
        <w:rPr>
          <w:rFonts w:ascii="Times New Roman" w:hAnsi="Times New Roman" w:cs="Times New Roman"/>
          <w:sz w:val="24"/>
          <w:szCs w:val="24"/>
        </w:rPr>
        <w:t xml:space="preserve"> </w:t>
      </w:r>
      <w:r>
        <w:rPr>
          <w:rFonts w:ascii="Times New Roman" w:hAnsi="Times New Roman" w:cs="Times New Roman"/>
          <w:sz w:val="24"/>
          <w:szCs w:val="24"/>
        </w:rPr>
        <w:t>At this same time,</w:t>
      </w:r>
      <w:r w:rsidRPr="000E1538">
        <w:rPr>
          <w:rFonts w:ascii="Times New Roman" w:hAnsi="Times New Roman" w:cs="Times New Roman"/>
          <w:sz w:val="24"/>
          <w:szCs w:val="24"/>
        </w:rPr>
        <w:t xml:space="preserve"> the</w:t>
      </w:r>
      <w:r>
        <w:rPr>
          <w:rFonts w:ascii="Times New Roman" w:hAnsi="Times New Roman" w:cs="Times New Roman"/>
          <w:sz w:val="24"/>
          <w:szCs w:val="24"/>
        </w:rPr>
        <w:t xml:space="preserve"> Ishikawa family also fortified the</w:t>
      </w:r>
      <w:r w:rsidRPr="000E1538">
        <w:rPr>
          <w:rFonts w:ascii="Times New Roman" w:hAnsi="Times New Roman" w:cs="Times New Roman"/>
          <w:sz w:val="24"/>
          <w:szCs w:val="24"/>
        </w:rPr>
        <w:t xml:space="preserve"> three concentric baileys that surround</w:t>
      </w:r>
      <w:r>
        <w:rPr>
          <w:rFonts w:ascii="Times New Roman" w:hAnsi="Times New Roman" w:cs="Times New Roman"/>
          <w:sz w:val="24"/>
          <w:szCs w:val="24"/>
        </w:rPr>
        <w:t xml:space="preserve"> the castle</w:t>
      </w:r>
      <w:r w:rsidRPr="000E1538">
        <w:rPr>
          <w:rFonts w:ascii="Times New Roman" w:hAnsi="Times New Roman" w:cs="Times New Roman"/>
          <w:sz w:val="24"/>
          <w:szCs w:val="24"/>
        </w:rPr>
        <w:t xml:space="preserve">. The </w:t>
      </w:r>
      <w:r>
        <w:rPr>
          <w:rFonts w:ascii="Times New Roman" w:hAnsi="Times New Roman" w:cs="Times New Roman"/>
          <w:sz w:val="24"/>
          <w:szCs w:val="24"/>
        </w:rPr>
        <w:t>Southeast Wing</w:t>
      </w:r>
      <w:r w:rsidRPr="000E1538">
        <w:rPr>
          <w:rFonts w:ascii="Times New Roman" w:hAnsi="Times New Roman" w:cs="Times New Roman"/>
          <w:sz w:val="24"/>
          <w:szCs w:val="24"/>
        </w:rPr>
        <w:t xml:space="preserve"> and the Moon-Viewing Tower were added to the castle </w:t>
      </w:r>
      <w:r>
        <w:rPr>
          <w:rFonts w:ascii="Times New Roman" w:hAnsi="Times New Roman" w:cs="Times New Roman"/>
          <w:sz w:val="24"/>
          <w:szCs w:val="24"/>
        </w:rPr>
        <w:t>40</w:t>
      </w:r>
      <w:r w:rsidRPr="000E1538">
        <w:rPr>
          <w:rFonts w:ascii="Times New Roman" w:hAnsi="Times New Roman" w:cs="Times New Roman"/>
          <w:sz w:val="24"/>
          <w:szCs w:val="24"/>
        </w:rPr>
        <w:t xml:space="preserve"> years later</w:t>
      </w:r>
      <w:r>
        <w:rPr>
          <w:rFonts w:ascii="Times New Roman" w:hAnsi="Times New Roman" w:cs="Times New Roman"/>
          <w:sz w:val="24"/>
          <w:szCs w:val="24"/>
        </w:rPr>
        <w:t>,</w:t>
      </w:r>
      <w:r w:rsidRPr="000E1538">
        <w:rPr>
          <w:rFonts w:ascii="Times New Roman" w:hAnsi="Times New Roman" w:cs="Times New Roman"/>
          <w:sz w:val="24"/>
          <w:szCs w:val="24"/>
        </w:rPr>
        <w:t xml:space="preserve"> under Matsudaira Naomasa (1601–1666). </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The resulting castle consists of the Great Keep and two joined towers. The Northwest Tower is joined via a connecting structure (a “linked keep”) and the Moon-Viewing Tower </w:t>
      </w:r>
      <w:r>
        <w:rPr>
          <w:rFonts w:ascii="Times New Roman" w:hAnsi="Times New Roman" w:cs="Times New Roman"/>
          <w:sz w:val="24"/>
          <w:szCs w:val="24"/>
        </w:rPr>
        <w:t>and Southwest Wing are</w:t>
      </w:r>
      <w:r w:rsidRPr="000E1538">
        <w:rPr>
          <w:rFonts w:ascii="Times New Roman" w:hAnsi="Times New Roman" w:cs="Times New Roman"/>
          <w:sz w:val="24"/>
          <w:szCs w:val="24"/>
        </w:rPr>
        <w:t xml:space="preserve"> joined directly (a “compound keep”). This combination of designs is unique among the castles that survive today. It is said that </w:t>
      </w:r>
      <w:r>
        <w:rPr>
          <w:rFonts w:ascii="Times New Roman" w:hAnsi="Times New Roman" w:cs="Times New Roman"/>
          <w:sz w:val="24"/>
          <w:szCs w:val="24"/>
        </w:rPr>
        <w:t>Naomasa</w:t>
      </w:r>
      <w:r w:rsidRPr="000E1538">
        <w:rPr>
          <w:rFonts w:ascii="Times New Roman" w:hAnsi="Times New Roman" w:cs="Times New Roman"/>
          <w:sz w:val="24"/>
          <w:szCs w:val="24"/>
        </w:rPr>
        <w:t xml:space="preserve"> may have added an additional tower to the north of the Kuromon Gate</w:t>
      </w:r>
      <w:r>
        <w:rPr>
          <w:rFonts w:ascii="Times New Roman" w:hAnsi="Times New Roman" w:cs="Times New Roman"/>
          <w:sz w:val="24"/>
          <w:szCs w:val="24"/>
        </w:rPr>
        <w:t xml:space="preserve">, </w:t>
      </w:r>
      <w:r w:rsidRPr="000E1538">
        <w:rPr>
          <w:rFonts w:ascii="Times New Roman" w:hAnsi="Times New Roman" w:cs="Times New Roman"/>
          <w:sz w:val="24"/>
          <w:szCs w:val="24"/>
        </w:rPr>
        <w:t>and</w:t>
      </w:r>
      <w:r>
        <w:rPr>
          <w:rFonts w:ascii="Times New Roman" w:hAnsi="Times New Roman" w:cs="Times New Roman"/>
          <w:sz w:val="24"/>
          <w:szCs w:val="24"/>
        </w:rPr>
        <w:t xml:space="preserve"> he</w:t>
      </w:r>
      <w:r w:rsidRPr="000E1538">
        <w:rPr>
          <w:rFonts w:ascii="Times New Roman" w:hAnsi="Times New Roman" w:cs="Times New Roman"/>
          <w:sz w:val="24"/>
          <w:szCs w:val="24"/>
        </w:rPr>
        <w:t xml:space="preserve"> also constructed two large storehouses for rice in the second bailey, but th</w:t>
      </w:r>
      <w:r>
        <w:rPr>
          <w:rFonts w:ascii="Times New Roman" w:hAnsi="Times New Roman" w:cs="Times New Roman"/>
          <w:sz w:val="24"/>
          <w:szCs w:val="24"/>
        </w:rPr>
        <w:t>o</w:t>
      </w:r>
      <w:r w:rsidRPr="000E1538">
        <w:rPr>
          <w:rFonts w:ascii="Times New Roman" w:hAnsi="Times New Roman" w:cs="Times New Roman"/>
          <w:sz w:val="24"/>
          <w:szCs w:val="24"/>
        </w:rPr>
        <w:t xml:space="preserve">se </w:t>
      </w:r>
      <w:r>
        <w:rPr>
          <w:rFonts w:ascii="Times New Roman" w:hAnsi="Times New Roman" w:cs="Times New Roman"/>
          <w:sz w:val="24"/>
          <w:szCs w:val="24"/>
        </w:rPr>
        <w:t>structures are no longer standing.</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Repairs</w:t>
      </w: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It seems that repairs and upkeep of the castle were carried out quite frequently during the Edo period, but few detailed records of these repairs exist. For example, it is known that when Matsumoto was governed by the Toda family from around the middle of the Edo period onward, repairs were conducted in 1733, 1758, 1779, 1781, 1782, 1802, 1817, 1826, 1832, and 1842. However, the specifics of these repairs are unknown.</w:t>
      </w:r>
    </w:p>
    <w:p w:rsidR="00EB11FB" w:rsidRPr="000E1538" w:rsidRDefault="00EB11FB" w:rsidP="00EB11FB">
      <w:pPr>
        <w:spacing w:line="0" w:lineRule="atLeast"/>
        <w:jc w:val="left"/>
        <w:rPr>
          <w:rFonts w:ascii="Times New Roman" w:hAnsi="Times New Roman" w:cs="Times New Roman"/>
          <w:b/>
          <w:bCs/>
          <w:sz w:val="24"/>
          <w:szCs w:val="24"/>
        </w:rPr>
      </w:pPr>
    </w:p>
    <w:p w:rsidR="00EB11FB" w:rsidRPr="000E1538" w:rsidRDefault="00EB11FB" w:rsidP="00EB11FB">
      <w:pPr>
        <w:spacing w:line="0" w:lineRule="atLeast"/>
        <w:jc w:val="left"/>
        <w:rPr>
          <w:rFonts w:ascii="Times New Roman" w:hAnsi="Times New Roman" w:cs="Times New Roman"/>
          <w:b/>
          <w:bCs/>
          <w:sz w:val="24"/>
          <w:szCs w:val="24"/>
        </w:rPr>
      </w:pPr>
      <w:r w:rsidRPr="000E1538">
        <w:rPr>
          <w:rFonts w:ascii="Times New Roman" w:hAnsi="Times New Roman" w:cs="Times New Roman"/>
          <w:b/>
          <w:bCs/>
          <w:sz w:val="24"/>
          <w:szCs w:val="24"/>
        </w:rPr>
        <w:t>(2) Repairs in the Meiji Era (1868–1912)</w:t>
      </w: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Following the Meiji Restoration in 1868, Japan </w:t>
      </w:r>
      <w:r>
        <w:rPr>
          <w:rFonts w:ascii="Times New Roman" w:hAnsi="Times New Roman" w:cs="Times New Roman"/>
          <w:sz w:val="24"/>
          <w:szCs w:val="24"/>
        </w:rPr>
        <w:t>began to adopt many aspects of Western culture, including stone architecture</w:t>
      </w:r>
      <w:r w:rsidRPr="000E1538">
        <w:rPr>
          <w:rFonts w:ascii="Times New Roman" w:hAnsi="Times New Roman" w:cs="Times New Roman"/>
          <w:sz w:val="24"/>
          <w:szCs w:val="24"/>
        </w:rPr>
        <w:t xml:space="preserve">. As a result, wooden castles such as Matsumoto Castle came to be seen as outdated relics of a war-torn age. Many castles throughout the country were torn down to make room for </w:t>
      </w:r>
      <w:r>
        <w:rPr>
          <w:rFonts w:ascii="Times New Roman" w:hAnsi="Times New Roman" w:cs="Times New Roman"/>
          <w:sz w:val="24"/>
          <w:szCs w:val="24"/>
        </w:rPr>
        <w:t>civic infrastructure or other new construction</w:t>
      </w:r>
      <w:r w:rsidRPr="000E1538">
        <w:rPr>
          <w:rFonts w:ascii="Times New Roman" w:hAnsi="Times New Roman" w:cs="Times New Roman"/>
          <w:sz w:val="24"/>
          <w:szCs w:val="24"/>
        </w:rPr>
        <w:t xml:space="preserve">. Although Matsumoto Castle was spared, it quickly fell into disrepair: </w:t>
      </w:r>
      <w:r>
        <w:rPr>
          <w:rFonts w:ascii="Times New Roman" w:hAnsi="Times New Roman" w:cs="Times New Roman"/>
          <w:sz w:val="24"/>
          <w:szCs w:val="24"/>
        </w:rPr>
        <w:t xml:space="preserve">roof </w:t>
      </w:r>
      <w:r w:rsidRPr="000E1538">
        <w:rPr>
          <w:rFonts w:ascii="Times New Roman" w:hAnsi="Times New Roman" w:cs="Times New Roman"/>
          <w:sz w:val="24"/>
          <w:szCs w:val="24"/>
        </w:rPr>
        <w:t>tiles cracked, walls began to collapse, and the distinctive, black-lacquered weatherboard faded. The castle might have ultimately collapsed where it stood</w:t>
      </w:r>
      <w:r>
        <w:rPr>
          <w:rFonts w:ascii="Times New Roman" w:hAnsi="Times New Roman" w:cs="Times New Roman"/>
          <w:sz w:val="24"/>
          <w:szCs w:val="24"/>
        </w:rPr>
        <w:t>,</w:t>
      </w:r>
      <w:r w:rsidRPr="000E1538">
        <w:rPr>
          <w:rFonts w:ascii="Times New Roman" w:hAnsi="Times New Roman" w:cs="Times New Roman"/>
          <w:sz w:val="24"/>
          <w:szCs w:val="24"/>
        </w:rPr>
        <w:t xml:space="preserve"> if not for Kobayashi Unari (1855–1914), the principal of the local middle school. Witnessing the state of the castle, Kobayashi establish</w:t>
      </w:r>
      <w:r>
        <w:rPr>
          <w:rFonts w:ascii="Times New Roman" w:hAnsi="Times New Roman" w:cs="Times New Roman"/>
          <w:sz w:val="24"/>
          <w:szCs w:val="24"/>
        </w:rPr>
        <w:t>ed</w:t>
      </w:r>
      <w:r w:rsidRPr="000E1538">
        <w:rPr>
          <w:rFonts w:ascii="Times New Roman" w:hAnsi="Times New Roman" w:cs="Times New Roman"/>
          <w:sz w:val="24"/>
          <w:szCs w:val="24"/>
        </w:rPr>
        <w:t xml:space="preserve"> the Matsumoto Castle Preservation Society. This organization raised funds and gained the necessary government approval to repair the castle.</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Renovations began in 1903 and were completed in 1913, following a brief pause during the Russo–Japanese War (1904–1905). One of the master carpenters involved in the project, Sasaki Kijū, later went on to design the Yamabe School, a unique </w:t>
      </w:r>
      <w:r>
        <w:rPr>
          <w:rFonts w:ascii="Times New Roman" w:hAnsi="Times New Roman" w:cs="Times New Roman"/>
          <w:sz w:val="24"/>
          <w:szCs w:val="24"/>
        </w:rPr>
        <w:t>pseudo–</w:t>
      </w:r>
      <w:r w:rsidRPr="000E1538">
        <w:rPr>
          <w:rFonts w:ascii="Times New Roman" w:hAnsi="Times New Roman" w:cs="Times New Roman"/>
          <w:sz w:val="24"/>
          <w:szCs w:val="24"/>
        </w:rPr>
        <w:t>Western</w:t>
      </w:r>
      <w:r>
        <w:rPr>
          <w:rFonts w:ascii="Times New Roman" w:hAnsi="Times New Roman" w:cs="Times New Roman"/>
          <w:sz w:val="24"/>
          <w:szCs w:val="24"/>
        </w:rPr>
        <w:t xml:space="preserve"> </w:t>
      </w:r>
      <w:r w:rsidRPr="000E1538">
        <w:rPr>
          <w:rFonts w:ascii="Times New Roman" w:hAnsi="Times New Roman" w:cs="Times New Roman"/>
          <w:sz w:val="24"/>
          <w:szCs w:val="24"/>
        </w:rPr>
        <w:t>style school building in Nagano Prefecture.</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Detailed records of the</w:t>
      </w:r>
      <w:r>
        <w:rPr>
          <w:rFonts w:ascii="Times New Roman" w:hAnsi="Times New Roman" w:cs="Times New Roman"/>
          <w:sz w:val="24"/>
          <w:szCs w:val="24"/>
        </w:rPr>
        <w:t xml:space="preserve"> castle</w:t>
      </w:r>
      <w:r w:rsidRPr="000E1538">
        <w:rPr>
          <w:rFonts w:ascii="Times New Roman" w:hAnsi="Times New Roman" w:cs="Times New Roman"/>
          <w:sz w:val="24"/>
          <w:szCs w:val="24"/>
        </w:rPr>
        <w:t xml:space="preserve"> repairs do not exist, but it is thought that workers restacked some of the interior stone stairs, added diagonal support beams and an additional layer of plaster to the walls, shored up the frame with metal supports, and corrected the tilt of the castle. As a result, the castle was saved from further dilapidation, although the addition of new windows meant that its appearance changed substantially. These repairs would not have been possible without the support of local residents, whose donations covered roughly </w:t>
      </w:r>
      <w:r>
        <w:rPr>
          <w:rFonts w:ascii="Times New Roman" w:hAnsi="Times New Roman" w:cs="Times New Roman"/>
          <w:sz w:val="24"/>
          <w:szCs w:val="24"/>
        </w:rPr>
        <w:t>7</w:t>
      </w:r>
      <w:r w:rsidRPr="000E1538">
        <w:rPr>
          <w:rFonts w:ascii="Times New Roman" w:hAnsi="Times New Roman" w:cs="Times New Roman"/>
          <w:sz w:val="24"/>
          <w:szCs w:val="24"/>
        </w:rPr>
        <w:t>0</w:t>
      </w:r>
      <w:r>
        <w:rPr>
          <w:rFonts w:ascii="Times New Roman" w:hAnsi="Times New Roman" w:cs="Times New Roman"/>
          <w:sz w:val="24"/>
          <w:szCs w:val="24"/>
        </w:rPr>
        <w:t xml:space="preserve"> percent</w:t>
      </w:r>
      <w:r w:rsidRPr="000E1538">
        <w:rPr>
          <w:rFonts w:ascii="Times New Roman" w:hAnsi="Times New Roman" w:cs="Times New Roman"/>
          <w:sz w:val="24"/>
          <w:szCs w:val="24"/>
        </w:rPr>
        <w:t xml:space="preserve"> of the renovation costs.</w:t>
      </w:r>
    </w:p>
    <w:p w:rsidR="00EB11FB" w:rsidRPr="000E1538" w:rsidRDefault="00EB11FB" w:rsidP="00EB11FB">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2054"/>
        <w:gridCol w:w="6666"/>
      </w:tblGrid>
      <w:tr w:rsidR="00EB11FB" w:rsidRPr="000E1538" w:rsidTr="00B24F3C">
        <w:tc>
          <w:tcPr>
            <w:tcW w:w="2122" w:type="dxa"/>
            <w:vAlign w:val="center"/>
          </w:tcPr>
          <w:p w:rsidR="00EB11FB" w:rsidRPr="000E1538" w:rsidRDefault="00EB11FB" w:rsidP="00B24F3C">
            <w:pPr>
              <w:spacing w:line="0" w:lineRule="atLeast"/>
              <w:rPr>
                <w:rFonts w:ascii="Times New Roman" w:eastAsia="Meiryo UI" w:hAnsi="Times New Roman" w:cs="Times New Roman"/>
                <w:sz w:val="24"/>
                <w:szCs w:val="24"/>
              </w:rPr>
            </w:pPr>
            <w:r w:rsidRPr="000E1538">
              <w:rPr>
                <w:rFonts w:ascii="Times New Roman" w:eastAsia="Meiryo UI" w:hAnsi="Times New Roman" w:cs="Times New Roman"/>
                <w:sz w:val="24"/>
                <w:szCs w:val="24"/>
              </w:rPr>
              <w:t>明治修理の状況</w:t>
            </w:r>
          </w:p>
        </w:tc>
        <w:tc>
          <w:tcPr>
            <w:tcW w:w="6894" w:type="dxa"/>
            <w:vAlign w:val="center"/>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Repairs in the Meiji era</w:t>
            </w:r>
          </w:p>
        </w:tc>
      </w:tr>
      <w:tr w:rsidR="00EB11FB" w:rsidRPr="000E1538" w:rsidTr="00B24F3C">
        <w:tc>
          <w:tcPr>
            <w:tcW w:w="2122" w:type="dxa"/>
            <w:vAlign w:val="center"/>
          </w:tcPr>
          <w:p w:rsidR="00EB11FB" w:rsidRPr="000E1538" w:rsidRDefault="00EB11FB" w:rsidP="00B24F3C">
            <w:pPr>
              <w:spacing w:line="0" w:lineRule="atLeast"/>
              <w:rPr>
                <w:rFonts w:ascii="Times New Roman" w:eastAsia="Meiryo UI" w:hAnsi="Times New Roman" w:cs="Times New Roman"/>
                <w:sz w:val="24"/>
                <w:szCs w:val="24"/>
              </w:rPr>
            </w:pPr>
            <w:r w:rsidRPr="000E1538">
              <w:rPr>
                <w:rFonts w:ascii="Times New Roman" w:eastAsia="Meiryo UI" w:hAnsi="Times New Roman" w:cs="Times New Roman"/>
                <w:sz w:val="24"/>
                <w:szCs w:val="24"/>
              </w:rPr>
              <w:t>明治修理後の天守</w:t>
            </w:r>
          </w:p>
        </w:tc>
        <w:tc>
          <w:tcPr>
            <w:tcW w:w="6894" w:type="dxa"/>
            <w:vAlign w:val="center"/>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Matsumoto Castle after repairs in 1913</w:t>
            </w:r>
          </w:p>
        </w:tc>
      </w:tr>
    </w:tbl>
    <w:p w:rsidR="00EB11FB" w:rsidRPr="000E1538" w:rsidRDefault="00EB11FB" w:rsidP="00EB11FB">
      <w:pPr>
        <w:spacing w:line="0" w:lineRule="atLeast"/>
        <w:rPr>
          <w:rFonts w:ascii="Times New Roman" w:hAnsi="Times New Roman" w:cs="Times New Roman"/>
          <w:sz w:val="24"/>
          <w:szCs w:val="24"/>
        </w:rPr>
      </w:pPr>
    </w:p>
    <w:p w:rsidR="00EB11FB" w:rsidRPr="000E1538" w:rsidRDefault="00EB11FB" w:rsidP="00EB11FB">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b/>
          <w:bCs/>
        </w:rPr>
      </w:pPr>
      <w:r w:rsidRPr="000E1538">
        <w:rPr>
          <w:b/>
          <w:bCs/>
        </w:rPr>
        <w:t>Repairs in the Showa Era (1926–1989)</w:t>
      </w: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After the end of World War II, in the autumn of 1946, an advisor for the Arts and Monuments Division of the Civil Information and Education Section under the Supreme Commander for the Allied Powers (SCAP) visited Nagano Prefecture. His name was Charles F. Gallagher. Seeing the condition of Matsumoto Castle, Gallagher recommended that repairs be carried out as soon as possible. </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Motivated by his recommendation, Ōoka Minoru (1900–1987), a director at the Tokyo National Museum, and Fujishima Gaijirō (1899–2002), a professor at the University of Tokyo, conducted preliminary surveys. In 1948, the Matsumoto Castle Scenic Landscape Preservation Society was formed, fundraising efforts were begun, and a petition to allow construction was submitted to the national government. As a result of their efforts, large-scale repairs began on June 8, 1950.</w:t>
      </w:r>
    </w:p>
    <w:p w:rsidR="00EB11FB" w:rsidRPr="000E1538" w:rsidRDefault="00EB11FB" w:rsidP="00EB11FB">
      <w:pPr>
        <w:spacing w:line="0" w:lineRule="atLeast"/>
        <w:jc w:val="lef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The project was unprecedented in its scope and involved the complete disassembly of Matsumoto Castle. The overall objective of the repairs was to restore the Edo-period appearance of the castle. However, the renovations also allowed the builders to conduct a thorough investigation of the foundation, and it was determined that the underground wooden posts should be replaced with reinforced concrete to improve the durability of the structure.</w:t>
      </w:r>
    </w:p>
    <w:p w:rsidR="00EB11FB" w:rsidRPr="000E1538" w:rsidRDefault="00EB11FB" w:rsidP="00EB11FB">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972"/>
        <w:gridCol w:w="1663"/>
        <w:gridCol w:w="6085"/>
      </w:tblGrid>
      <w:tr w:rsidR="00EB11FB" w:rsidRPr="000E1538" w:rsidTr="00B24F3C">
        <w:tc>
          <w:tcPr>
            <w:tcW w:w="988" w:type="dxa"/>
            <w:vMerge w:val="restart"/>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1950</w:t>
            </w: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June 8</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Groundbreaking Ceremony</w:t>
            </w:r>
          </w:p>
        </w:tc>
      </w:tr>
      <w:tr w:rsidR="00EB11FB" w:rsidRPr="000E1538" w:rsidTr="00B24F3C">
        <w:tc>
          <w:tcPr>
            <w:tcW w:w="988" w:type="dxa"/>
            <w:vMerge/>
          </w:tcPr>
          <w:p w:rsidR="00EB11FB" w:rsidRPr="000E1538" w:rsidRDefault="00EB11FB" w:rsidP="00B24F3C">
            <w:pPr>
              <w:spacing w:line="0" w:lineRule="atLeast"/>
              <w:rPr>
                <w:rFonts w:ascii="Times New Roman" w:hAnsi="Times New Roman" w:cs="Times New Roman"/>
                <w:sz w:val="24"/>
                <w:szCs w:val="24"/>
              </w:rPr>
            </w:pP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August</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Deconstruction begins</w:t>
            </w:r>
          </w:p>
        </w:tc>
      </w:tr>
      <w:tr w:rsidR="00EB11FB" w:rsidRPr="000E1538" w:rsidTr="00B24F3C">
        <w:tc>
          <w:tcPr>
            <w:tcW w:w="988" w:type="dxa"/>
            <w:vMerge/>
          </w:tcPr>
          <w:p w:rsidR="00EB11FB" w:rsidRPr="000E1538" w:rsidRDefault="00EB11FB" w:rsidP="00B24F3C">
            <w:pPr>
              <w:spacing w:line="0" w:lineRule="atLeast"/>
              <w:rPr>
                <w:rFonts w:ascii="Times New Roman" w:hAnsi="Times New Roman" w:cs="Times New Roman"/>
                <w:sz w:val="24"/>
                <w:szCs w:val="24"/>
              </w:rPr>
            </w:pP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August 15</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Management of the project is transferred from the Matsumoto City Museum to the Matsumoto Castle Preservation and Construction Office</w:t>
            </w:r>
          </w:p>
        </w:tc>
      </w:tr>
      <w:tr w:rsidR="00EB11FB" w:rsidRPr="000E1538" w:rsidTr="00B24F3C">
        <w:tc>
          <w:tcPr>
            <w:tcW w:w="988"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1952</w:t>
            </w: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June 11</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i/>
                <w:iCs/>
                <w:sz w:val="24"/>
                <w:szCs w:val="24"/>
              </w:rPr>
              <w:t>Chōna-hajime</w:t>
            </w:r>
            <w:r w:rsidRPr="000E1538">
              <w:rPr>
                <w:rFonts w:ascii="Times New Roman" w:hAnsi="Times New Roman" w:cs="Times New Roman"/>
                <w:sz w:val="24"/>
                <w:szCs w:val="24"/>
              </w:rPr>
              <w:t xml:space="preserve"> (“first </w:t>
            </w:r>
            <w:r>
              <w:rPr>
                <w:rFonts w:ascii="Times New Roman" w:hAnsi="Times New Roman" w:cs="Times New Roman"/>
                <w:sz w:val="24"/>
                <w:szCs w:val="24"/>
              </w:rPr>
              <w:t>adze</w:t>
            </w:r>
            <w:r w:rsidRPr="000E1538">
              <w:rPr>
                <w:rFonts w:ascii="Times New Roman" w:hAnsi="Times New Roman" w:cs="Times New Roman"/>
                <w:sz w:val="24"/>
                <w:szCs w:val="24"/>
              </w:rPr>
              <w:t>”) Ceremony, which marks the start of reconstruction</w:t>
            </w:r>
          </w:p>
        </w:tc>
      </w:tr>
      <w:tr w:rsidR="00EB11FB" w:rsidRPr="000E1538" w:rsidTr="00B24F3C">
        <w:tc>
          <w:tcPr>
            <w:tcW w:w="988"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1953</w:t>
            </w: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October 3</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Ridge-Raising Ceremony</w:t>
            </w:r>
          </w:p>
        </w:tc>
      </w:tr>
      <w:tr w:rsidR="00EB11FB" w:rsidRPr="000E1538" w:rsidTr="00B24F3C">
        <w:tc>
          <w:tcPr>
            <w:tcW w:w="988" w:type="dxa"/>
            <w:vMerge w:val="restart"/>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1955</w:t>
            </w: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October 1</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Completion Ceremony</w:t>
            </w:r>
          </w:p>
        </w:tc>
      </w:tr>
      <w:tr w:rsidR="00EB11FB" w:rsidRPr="000E1538" w:rsidTr="00B24F3C">
        <w:tc>
          <w:tcPr>
            <w:tcW w:w="988" w:type="dxa"/>
            <w:vMerge/>
          </w:tcPr>
          <w:p w:rsidR="00EB11FB" w:rsidRPr="000E1538" w:rsidRDefault="00EB11FB" w:rsidP="00B24F3C">
            <w:pPr>
              <w:spacing w:line="0" w:lineRule="atLeast"/>
              <w:rPr>
                <w:rFonts w:ascii="Times New Roman" w:hAnsi="Times New Roman" w:cs="Times New Roman"/>
                <w:sz w:val="24"/>
                <w:szCs w:val="24"/>
              </w:rPr>
            </w:pP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October 8</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enshrinement of Nijūroku-yashin, a guardian deity of the castle, on the sixth floor of the Great Keep</w:t>
            </w:r>
          </w:p>
        </w:tc>
      </w:tr>
      <w:tr w:rsidR="00EB11FB" w:rsidRPr="000E1538" w:rsidTr="00B24F3C">
        <w:tc>
          <w:tcPr>
            <w:tcW w:w="988" w:type="dxa"/>
            <w:vMerge/>
          </w:tcPr>
          <w:p w:rsidR="00EB11FB" w:rsidRPr="000E1538" w:rsidRDefault="00EB11FB" w:rsidP="00B24F3C">
            <w:pPr>
              <w:spacing w:line="0" w:lineRule="atLeast"/>
              <w:rPr>
                <w:rFonts w:ascii="Times New Roman" w:hAnsi="Times New Roman" w:cs="Times New Roman"/>
                <w:sz w:val="24"/>
                <w:szCs w:val="24"/>
              </w:rPr>
            </w:pPr>
          </w:p>
        </w:tc>
        <w:tc>
          <w:tcPr>
            <w:tcW w:w="1701" w:type="dxa"/>
          </w:tcPr>
          <w:p w:rsidR="00EB11FB" w:rsidRPr="000E1538" w:rsidRDefault="00EB11FB" w:rsidP="00B24F3C">
            <w:pPr>
              <w:spacing w:line="0" w:lineRule="atLeast"/>
              <w:rPr>
                <w:rFonts w:ascii="Times New Roman" w:hAnsi="Times New Roman" w:cs="Times New Roman"/>
                <w:sz w:val="24"/>
                <w:szCs w:val="24"/>
              </w:rPr>
            </w:pPr>
            <w:r w:rsidRPr="000E1538">
              <w:rPr>
                <w:rFonts w:ascii="Times New Roman" w:hAnsi="Times New Roman" w:cs="Times New Roman"/>
                <w:sz w:val="24"/>
                <w:szCs w:val="24"/>
              </w:rPr>
              <w:t>October 15</w:t>
            </w:r>
          </w:p>
        </w:tc>
        <w:tc>
          <w:tcPr>
            <w:tcW w:w="6327" w:type="dxa"/>
          </w:tcPr>
          <w:p w:rsidR="00EB11FB" w:rsidRPr="000E1538" w:rsidRDefault="00EB11FB" w:rsidP="00464C5E">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Continued management of the castle is transferred back to the Matsumoto City Museum</w:t>
            </w:r>
          </w:p>
        </w:tc>
      </w:tr>
    </w:tbl>
    <w:p w:rsidR="00EB11FB" w:rsidRPr="000E1538" w:rsidRDefault="00EB11FB" w:rsidP="00EB11FB">
      <w:pPr>
        <w:spacing w:line="0" w:lineRule="atLeast"/>
        <w:rPr>
          <w:rFonts w:ascii="Times New Roman" w:hAnsi="Times New Roman" w:cs="Times New Roman"/>
          <w:sz w:val="24"/>
          <w:szCs w:val="24"/>
        </w:rPr>
      </w:pPr>
    </w:p>
    <w:p w:rsidR="00EB11FB" w:rsidRPr="000E1538" w:rsidRDefault="00EB11FB" w:rsidP="00EB11FB">
      <w:pPr>
        <w:spacing w:line="0" w:lineRule="atLeast"/>
        <w:jc w:val="left"/>
        <w:rPr>
          <w:rFonts w:ascii="Times New Roman" w:hAnsi="Times New Roman" w:cs="Times New Roman"/>
          <w:sz w:val="24"/>
          <w:szCs w:val="24"/>
        </w:rPr>
      </w:pPr>
      <w:r w:rsidRPr="000E1538">
        <w:rPr>
          <w:rFonts w:ascii="Times New Roman" w:hAnsi="Times New Roman" w:cs="Times New Roman"/>
          <w:sz w:val="24"/>
          <w:szCs w:val="24"/>
        </w:rPr>
        <w:t xml:space="preserve">Partway through the project, the city government of Matsumoto reached out to </w:t>
      </w:r>
      <w:r>
        <w:rPr>
          <w:rFonts w:ascii="Times New Roman" w:hAnsi="Times New Roman" w:cs="Times New Roman"/>
          <w:sz w:val="24"/>
          <w:szCs w:val="24"/>
        </w:rPr>
        <w:t xml:space="preserve">staff at </w:t>
      </w:r>
      <w:r w:rsidRPr="000E1538">
        <w:rPr>
          <w:rFonts w:ascii="Times New Roman" w:hAnsi="Times New Roman" w:cs="Times New Roman"/>
          <w:sz w:val="24"/>
          <w:szCs w:val="24"/>
        </w:rPr>
        <w:t xml:space="preserve">Himeji Castle and Matsue Castle and </w:t>
      </w:r>
      <w:r>
        <w:rPr>
          <w:rFonts w:ascii="Times New Roman" w:hAnsi="Times New Roman" w:cs="Times New Roman"/>
          <w:sz w:val="24"/>
          <w:szCs w:val="24"/>
        </w:rPr>
        <w:t xml:space="preserve">took the first steps toward </w:t>
      </w:r>
      <w:r w:rsidRPr="000E1538">
        <w:rPr>
          <w:rFonts w:ascii="Times New Roman" w:hAnsi="Times New Roman" w:cs="Times New Roman"/>
          <w:sz w:val="24"/>
          <w:szCs w:val="24"/>
        </w:rPr>
        <w:t>establish</w:t>
      </w:r>
      <w:r>
        <w:rPr>
          <w:rFonts w:ascii="Times New Roman" w:hAnsi="Times New Roman" w:cs="Times New Roman"/>
          <w:sz w:val="24"/>
          <w:szCs w:val="24"/>
        </w:rPr>
        <w:t>ing</w:t>
      </w:r>
      <w:r w:rsidRPr="000E1538">
        <w:rPr>
          <w:rFonts w:ascii="Times New Roman" w:hAnsi="Times New Roman" w:cs="Times New Roman"/>
          <w:sz w:val="24"/>
          <w:szCs w:val="24"/>
        </w:rPr>
        <w:t xml:space="preserve"> the National Castle Preservation Council</w:t>
      </w:r>
      <w:r>
        <w:rPr>
          <w:rFonts w:ascii="Times New Roman" w:hAnsi="Times New Roman" w:cs="Times New Roman"/>
          <w:sz w:val="24"/>
          <w:szCs w:val="24"/>
        </w:rPr>
        <w:t>. A provisional planning meeting was held</w:t>
      </w:r>
      <w:r w:rsidRPr="000E1538">
        <w:rPr>
          <w:rFonts w:ascii="Times New Roman" w:hAnsi="Times New Roman" w:cs="Times New Roman"/>
          <w:sz w:val="24"/>
          <w:szCs w:val="24"/>
        </w:rPr>
        <w:t xml:space="preserve"> on September 18, 1951. Later in November, other cities with castles joined the council, and its first</w:t>
      </w:r>
      <w:r>
        <w:rPr>
          <w:rFonts w:ascii="Times New Roman" w:hAnsi="Times New Roman" w:cs="Times New Roman"/>
          <w:sz w:val="24"/>
          <w:szCs w:val="24"/>
        </w:rPr>
        <w:t xml:space="preserve"> full</w:t>
      </w:r>
      <w:r w:rsidRPr="000E1538">
        <w:rPr>
          <w:rFonts w:ascii="Times New Roman" w:hAnsi="Times New Roman" w:cs="Times New Roman"/>
          <w:sz w:val="24"/>
          <w:szCs w:val="24"/>
        </w:rPr>
        <w:t xml:space="preserve"> meeting was held in Himeji. While this organization was eventually dissolved, it served as the basis for the current Japanese Castle Management Council.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6D7D"/>
    <w:multiLevelType w:val="hybridMultilevel"/>
    <w:tmpl w:val="1B166964"/>
    <w:lvl w:ilvl="0" w:tplc="6876E5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22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11FB"/>
    <w:rsid w:val="00444234"/>
    <w:rsid w:val="00C42597"/>
    <w:rsid w:val="00EB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65895A-B489-4086-A9A3-9A97CEC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1FB"/>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1FB"/>
    <w:pPr>
      <w:widowControl/>
      <w:pBdr>
        <w:top w:val="nil"/>
        <w:left w:val="nil"/>
        <w:bottom w:val="nil"/>
        <w:right w:val="nil"/>
        <w:between w:val="nil"/>
        <w:bar w:val="nil"/>
      </w:pBdr>
      <w:ind w:leftChars="400" w:left="840"/>
      <w:jc w:val="left"/>
    </w:pPr>
    <w:rPr>
      <w:rFonts w:ascii="Times New Roman"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