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BBC" w:rsidRPr="00977768" w:rsidRDefault="00633BBC" w:rsidP="00633BBC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77768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77768">
        <w:rPr>
          <w:rFonts w:ascii="Times New Roman" w:hAnsi="Times New Roman" w:cs="Times New Roman"/>
          <w:b/>
          <w:bCs/>
          <w:sz w:val="24"/>
          <w:szCs w:val="24"/>
        </w:rPr>
        <w:t xml:space="preserve">icher, for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77768">
        <w:rPr>
          <w:rFonts w:ascii="Times New Roman" w:hAnsi="Times New Roman" w:cs="Times New Roman"/>
          <w:b/>
          <w:bCs/>
          <w:sz w:val="24"/>
          <w:szCs w:val="24"/>
        </w:rPr>
        <w:t xml:space="preserve">oorer </w:t>
      </w:r>
    </w:p>
    <w:p/>
    <w:p w:rsidR="00633BBC" w:rsidRPr="00977768" w:rsidRDefault="00633BBC" w:rsidP="00633BBC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Wainai would not have succeeded without the support of Katsu, his wife. She was resolute in the face of setbacks,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bringing up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nine children despite a chronic lack of money, and pawning her favorite kimonos, comb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pocket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watch to help her husband raise money to buy the kokanee eggs. In 1905, the year the kokanee first returned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Towada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spawn, the harvest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surrounding</w:t>
      </w:r>
      <w:r w:rsidRPr="00476B61">
        <w:rPr>
          <w:rFonts w:ascii="Times New Roman" w:hAnsi="Times New Roman" w:cs="Times New Roman"/>
          <w:sz w:val="24"/>
          <w:szCs w:val="24"/>
        </w:rPr>
        <w:t xml:space="preserve"> Tohoku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failed. Despite the family’s heavy debt load, Katsu persuaded Wainai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allow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famished locals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fish freely in the lake. Regarded as the epitome of “</w:t>
      </w:r>
      <w:r w:rsidRPr="00977768">
        <w:rPr>
          <w:rFonts w:ascii="Times New Roman" w:hAnsi="Times New Roman" w:cs="Times New Roman"/>
          <w:sz w:val="24"/>
          <w:szCs w:val="24"/>
        </w:rPr>
        <w:t>a good wife and a smart mother,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she was featured </w:t>
      </w:r>
      <w:r w:rsidRPr="00977768">
        <w:rPr>
          <w:rFonts w:ascii="Times New Roman" w:hAnsi="Times New Roman" w:cs="Times New Roman"/>
          <w:sz w:val="24"/>
          <w:szCs w:val="24"/>
        </w:rPr>
        <w:t>in prewar textbooks as a model of womanly conduct.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768">
        <w:rPr>
          <w:rFonts w:ascii="Times New Roman" w:hAnsi="Times New Roman" w:cs="Times New Roman"/>
          <w:sz w:val="24"/>
          <w:szCs w:val="24"/>
        </w:rPr>
        <w:t xml:space="preserve"> 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[11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BC"/>
    <w:rsid w:val="00444234"/>
    <w:rsid w:val="00633BB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A9395-E939-4914-A8F8-9D9E4485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2023-07-11T05:40:00Z</dcterms:created>
  <dcterms:modified xsi:type="dcterms:W3CDTF">2023-07-11T05:40:00Z</dcterms:modified>
</cp:coreProperties>
</file>