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48C" w:rsidRPr="00DA2BF3" w:rsidRDefault="0039448C" w:rsidP="0039448C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A2BF3">
        <w:rPr>
          <w:rFonts w:ascii="Times New Roman" w:hAnsi="Times New Roman" w:cs="Times New Roman"/>
          <w:b/>
          <w:sz w:val="24"/>
          <w:szCs w:val="24"/>
        </w:rPr>
        <w:t>“The Fish of My Dreams”</w:t>
      </w:r>
    </w:p>
    <w:p/>
    <w:p w:rsidR="0039448C" w:rsidRPr="00977768" w:rsidRDefault="0039448C" w:rsidP="0039448C">
      <w:pPr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Wainai Sadayuki’s life story was turned into a feature film in 1950. Although the film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somewhat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embellish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>facts, the basic story of Wainai’s long struggle to realize his dream remain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77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intact.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[3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977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]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48C"/>
    <w:rsid w:val="0039448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14962-D8E6-4EE4-8955-41F9B723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2023-07-11T05:40:00Z</dcterms:created>
  <dcterms:modified xsi:type="dcterms:W3CDTF">2023-07-11T05:40:00Z</dcterms:modified>
</cp:coreProperties>
</file>