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B25F9" w:rsidRPr="000652A0" w:rsidRDefault="006B25F9" w:rsidP="006B25F9">
      <w:pPr>
        <w:jc w:val="left"/>
        <w:rPr>
          <w:rFonts w:ascii="Meiryo UI" w:eastAsia="Meiryo UI" w:hAnsi="Meiryo UI"/>
          <w:b/>
          <w:bCs/>
        </w:rPr>
      </w:pPr>
      <w:r>
        <w:rPr>
          <w:b/>
        </w:rPr>
        <w:t xml:space="preserve">덴진 신앙 </w:t>
      </w:r>
    </w:p>
    <w:p w:rsidR="006B25F9" w:rsidRPr="000652A0" w:rsidRDefault="006B25F9" w:rsidP="006B25F9">
      <w:pPr>
        <w:jc w:val="left"/>
        <w:rPr>
          <w:rFonts w:ascii="Meiryo UI" w:eastAsia="Meiryo UI" w:hAnsi="Meiryo UI"/>
        </w:rPr>
      </w:pPr>
      <w:r/>
    </w:p>
    <w:p w:rsidR="006B25F9" w:rsidRPr="000652A0" w:rsidRDefault="006B25F9" w:rsidP="006B25F9">
      <w:pPr>
        <w:ind w:firstLineChars="100" w:firstLine="210"/>
        <w:jc w:val="left"/>
        <w:rPr>
          <w:rFonts w:ascii="Meiryo UI" w:eastAsia="Meiryo UI" w:hAnsi="Meiryo UI" w:cs="ＭＳ 明朝"/>
        </w:rPr>
      </w:pPr>
      <w:r w:rsidRPr="000652A0">
        <w:rPr>
          <w:rFonts w:ascii="Batang" w:eastAsia="Batang" w:hAnsi="Batang" w:cs="Batang"/>
          <w:lang w:val="ko-KR" w:bidi="ko-KR"/>
        </w:rPr>
        <w:t xml:space="preserve">스가와라 미치자네(845-904)는 다자이후에 좌천된 후 </w:t>
      </w:r>
      <w:r w:rsidRPr="000652A0">
        <w:rPr>
          <w:rFonts w:ascii="Batang" w:eastAsia="Batang" w:hAnsi="Batang" w:cs="Batang" w:hint="eastAsia"/>
          <w:lang w:val="ko-KR" w:bidi="ko-KR"/>
        </w:rPr>
        <w:t>이 땅</w:t>
      </w:r>
      <w:r w:rsidRPr="000652A0">
        <w:rPr>
          <w:rFonts w:ascii="Batang" w:eastAsia="Batang" w:hAnsi="Batang" w:cs="Batang"/>
          <w:lang w:val="ko-KR" w:bidi="ko-KR"/>
        </w:rPr>
        <w:t>에서 세상을 떠났지만, 그의 영혼은 오늘날에도 살아</w:t>
      </w:r>
      <w:r w:rsidRPr="000652A0">
        <w:rPr>
          <w:rFonts w:ascii="Batang" w:eastAsia="Batang" w:hAnsi="Batang" w:cs="Batang" w:hint="eastAsia"/>
          <w:lang w:val="ko-KR" w:bidi="ko-KR"/>
        </w:rPr>
        <w:t xml:space="preserve"> </w:t>
      </w:r>
      <w:r w:rsidRPr="000652A0">
        <w:rPr>
          <w:rFonts w:ascii="Batang" w:eastAsia="Batang" w:hAnsi="Batang" w:cs="Batang"/>
          <w:lang w:val="ko-KR" w:bidi="ko-KR"/>
        </w:rPr>
        <w:t>숨</w:t>
      </w:r>
      <w:r w:rsidRPr="000652A0">
        <w:rPr>
          <w:rFonts w:ascii="Batang" w:eastAsia="Batang" w:hAnsi="Batang" w:cs="Batang" w:hint="eastAsia"/>
          <w:lang w:val="ko-KR" w:bidi="ko-KR"/>
        </w:rPr>
        <w:t xml:space="preserve"> </w:t>
      </w:r>
      <w:r w:rsidRPr="000652A0">
        <w:rPr>
          <w:rFonts w:ascii="Batang" w:eastAsia="Batang" w:hAnsi="Batang" w:cs="Batang"/>
          <w:lang w:val="ko-KR" w:bidi="ko-KR"/>
        </w:rPr>
        <w:t>쉬고 있습니다. 미치자네는 사후 학문, 문화, 예술의 신인 ‘덴진’으로 신격화되었으며, 그 중에서도 두루마리 그림, 회화, 조각을 통해 미치자네에 대해서 배운 일반인들 사이에서 많은 신자들이 생겨났습니다.</w:t>
      </w:r>
    </w:p>
    <w:p w:rsidR="006B25F9" w:rsidRPr="000652A0" w:rsidRDefault="006B25F9" w:rsidP="006B25F9">
      <w:pPr>
        <w:ind w:firstLineChars="100" w:firstLine="210"/>
        <w:jc w:val="left"/>
        <w:rPr>
          <w:rFonts w:ascii="Meiryo UI" w:eastAsia="Meiryo UI" w:hAnsi="Meiryo UI" w:cs="ＭＳ 明朝"/>
        </w:rPr>
      </w:pPr>
      <w:r w:rsidRPr="000652A0">
        <w:rPr>
          <w:rFonts w:ascii="Batang" w:eastAsia="Batang" w:hAnsi="Batang" w:cs="Batang"/>
          <w:lang w:val="ko-KR" w:bidi="ko-KR"/>
        </w:rPr>
        <w:t>덴진으로서의 미치자네는 다양하게 묘사되고 있습니다. 작품에 따라서는 학자의 위치에 있었던 미치자네의 실제 모습을 가깝게 표현한 것에서부터</w:t>
      </w:r>
      <w:r w:rsidRPr="000652A0">
        <w:rPr>
          <w:rFonts w:ascii="Batang" w:eastAsia="Batang" w:hAnsi="Batang" w:cs="Batang" w:hint="eastAsia"/>
          <w:lang w:val="ko-KR" w:bidi="ko-KR"/>
        </w:rPr>
        <w:t>,</w:t>
      </w:r>
      <w:r w:rsidRPr="000652A0">
        <w:rPr>
          <w:rFonts w:ascii="Batang" w:eastAsia="Batang" w:hAnsi="Batang" w:cs="Batang"/>
          <w:lang w:val="ko-KR" w:bidi="ko-KR"/>
        </w:rPr>
        <w:t xml:space="preserve"> 미치자네의 사후 수 년간 교토에서 발생했던 천재지변이나 역병이 그의 원령으로 인해 발생한 것이 아니냐는 생각에서 무시무시한 표정을 짓는 미치자네를 묘사한 것도 있습니다. 이외에는 당시 유행했던 양식에 맞춰 각색되었으며, 선(禪)이 널리 퍼지면서 미치자네에 대한 이미지도 그에 따라 변화했습니다. 중국의 전통적인 두건과 의상을 입고 꽃을 피운 매화나무 가지를 잡고 있는 미치자네가 등장하는 경우도 있었습니다.</w:t>
      </w:r>
    </w:p>
    <w:p w:rsidR="006B25F9" w:rsidRPr="000652A0" w:rsidRDefault="006B25F9" w:rsidP="006B25F9">
      <w:pPr>
        <w:ind w:firstLineChars="100" w:firstLine="210"/>
        <w:jc w:val="left"/>
        <w:rPr>
          <w:rFonts w:ascii="Meiryo UI" w:eastAsia="Meiryo UI" w:hAnsi="Meiryo UI" w:cs="ＭＳ 明朝"/>
        </w:rPr>
      </w:pPr>
      <w:r w:rsidRPr="000652A0">
        <w:rPr>
          <w:rFonts w:ascii="Batang" w:eastAsia="Batang" w:hAnsi="Batang" w:cs="Batang"/>
          <w:lang w:val="ko-KR" w:bidi="ko-KR"/>
        </w:rPr>
        <w:t>덴진을 모시기 위해 조성된 신사의 신자들은 수 세기에 걸쳐 그 수가 점차 증가하였으며, 다자이후 덴만구는 일본에서 12,000개가 넘는 덴진 신사의 총본사로 자리 잡았습니다.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5F9"/>
    <w:rsid w:val="00346BD8"/>
    <w:rsid w:val="006B25F9"/>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B9679B3-C190-4991-8315-E7E50F755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B25F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B25F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B25F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B25F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B25F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B25F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B25F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B25F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B25F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B25F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B25F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B25F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B25F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B25F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B25F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B25F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B25F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B25F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B25F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B25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25F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B25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25F9"/>
    <w:pPr>
      <w:spacing w:before="160" w:after="160"/>
      <w:jc w:val="center"/>
    </w:pPr>
    <w:rPr>
      <w:i/>
      <w:iCs/>
      <w:color w:val="404040" w:themeColor="text1" w:themeTint="BF"/>
    </w:rPr>
  </w:style>
  <w:style w:type="character" w:customStyle="1" w:styleId="a8">
    <w:name w:val="引用文 (文字)"/>
    <w:basedOn w:val="a0"/>
    <w:link w:val="a7"/>
    <w:uiPriority w:val="29"/>
    <w:rsid w:val="006B25F9"/>
    <w:rPr>
      <w:i/>
      <w:iCs/>
      <w:color w:val="404040" w:themeColor="text1" w:themeTint="BF"/>
    </w:rPr>
  </w:style>
  <w:style w:type="paragraph" w:styleId="a9">
    <w:name w:val="List Paragraph"/>
    <w:basedOn w:val="a"/>
    <w:uiPriority w:val="34"/>
    <w:qFormat/>
    <w:rsid w:val="006B25F9"/>
    <w:pPr>
      <w:ind w:left="720"/>
      <w:contextualSpacing/>
    </w:pPr>
  </w:style>
  <w:style w:type="character" w:styleId="21">
    <w:name w:val="Intense Emphasis"/>
    <w:basedOn w:val="a0"/>
    <w:uiPriority w:val="21"/>
    <w:qFormat/>
    <w:rsid w:val="006B25F9"/>
    <w:rPr>
      <w:i/>
      <w:iCs/>
      <w:color w:val="0F4761" w:themeColor="accent1" w:themeShade="BF"/>
    </w:rPr>
  </w:style>
  <w:style w:type="paragraph" w:styleId="22">
    <w:name w:val="Intense Quote"/>
    <w:basedOn w:val="a"/>
    <w:next w:val="a"/>
    <w:link w:val="23"/>
    <w:uiPriority w:val="30"/>
    <w:qFormat/>
    <w:rsid w:val="006B25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B25F9"/>
    <w:rPr>
      <w:i/>
      <w:iCs/>
      <w:color w:val="0F4761" w:themeColor="accent1" w:themeShade="BF"/>
    </w:rPr>
  </w:style>
  <w:style w:type="character" w:styleId="24">
    <w:name w:val="Intense Reference"/>
    <w:basedOn w:val="a0"/>
    <w:uiPriority w:val="32"/>
    <w:qFormat/>
    <w:rsid w:val="006B25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2024-06-13T12:45:00Z</dcterms:created>
  <dcterms:modified xsi:type="dcterms:W3CDTF">2024-06-13T12:45:00Z</dcterms:modified>
</cp:coreProperties>
</file>