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FD" w:rsidRPr="001B6753" w:rsidRDefault="007076FD" w:rsidP="007076F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大宰府的顏色與等級制度</w:t>
      </w:r>
    </w:p>
    <w:p/>
    <w:p w:rsidR="007076FD" w:rsidRPr="001B6753" w:rsidRDefault="007076FD" w:rsidP="007076F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在古代日本，政府官員根據他們的官階穿著特定顏色的衣服，顏色具有強烈的象徵意義。如</w:t>
      </w:r>
      <w:r w:rsidRPr="006F7B54">
        <w:rPr>
          <w:rFonts w:eastAsia="Source Han Sans TW Normal"/>
          <w:color w:val="000000" w:themeColor="text1"/>
          <w:sz w:val="22"/>
          <w:lang w:eastAsia="zh-TW"/>
        </w:rPr>
        <w:t>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展示中的模擬人物一樣，地方最高長官「帥」穿淺紫色官服</w:t>
      </w:r>
      <w:r w:rsidRPr="00655F3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其他官員也依照自己的身份地位穿著某種顏色。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當時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等級極其重要，和穿著指定顏色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6A431D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權利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一樣，等級決定了在官僚機構中從事特定工作的資格。直到今天，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我們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仍然可以在日本的神社中看到這種等級制度的痕跡，比如在附近的太宰府天滿宮和灶門神社，不同等級的神官就身穿不同顏色的衣服。</w:t>
      </w:r>
    </w:p>
    <w:p w:rsidR="007076FD" w:rsidRPr="001B6753" w:rsidRDefault="007076FD" w:rsidP="007076F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腰帶也具有重要意義。展櫃左側的華麗腰帶與</w:t>
      </w:r>
      <w:r w:rsidRPr="006F7B54">
        <w:rPr>
          <w:rFonts w:eastAsia="Source Han Sans TW Normal"/>
          <w:color w:val="000000" w:themeColor="text1"/>
          <w:sz w:val="22"/>
          <w:lang w:eastAsia="zh-TW"/>
        </w:rPr>
        <w:t>職等較低的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官員佩戴的樸素腰帶形成了鮮明對比。不過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遺憾的是</w:t>
      </w:r>
      <w:r w:rsidRPr="00655F3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這些腰帶都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係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在衣服裡面，並不顯眼。</w:t>
      </w:r>
    </w:p>
    <w:p w:rsidR="007076FD" w:rsidRPr="001B6753" w:rsidRDefault="007076FD" w:rsidP="007076F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這些扁平的木片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木簡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6F7B54">
        <w:rPr>
          <w:rFonts w:eastAsia="Source Han Sans TW Normal"/>
          <w:color w:val="000000" w:themeColor="text1"/>
          <w:sz w:val="22"/>
          <w:lang w:eastAsia="zh-TW"/>
        </w:rPr>
        <w:t>有多種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用途，</w:t>
      </w:r>
      <w:r w:rsidRPr="006F7B54">
        <w:rPr>
          <w:rFonts w:eastAsia="Source Han Sans TW Normal"/>
          <w:color w:val="000000" w:themeColor="text1"/>
          <w:sz w:val="22"/>
          <w:lang w:eastAsia="zh-TW"/>
        </w:rPr>
        <w:t>例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如</w:t>
      </w:r>
      <w:r w:rsidRPr="006F7B54">
        <w:rPr>
          <w:rFonts w:eastAsia="Source Han Sans TW Normal"/>
          <w:color w:val="000000" w:themeColor="text1"/>
          <w:sz w:val="22"/>
          <w:lang w:eastAsia="zh-TW"/>
        </w:rPr>
        <w:t>用來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記錄課稅貨物的資訊。木簡也很環保，當不再需要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上面的資訊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時，只要用鋒利的小刀削去表面的文字就能重複利用。在紙張昂貴且稀缺的年代，這種做法頗有價值。</w:t>
      </w:r>
    </w:p>
    <w:p w:rsidR="007076FD" w:rsidRPr="00B93D23" w:rsidRDefault="007076FD" w:rsidP="007076F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在展品的中央，可以看到一枚硯臺和一塊墨條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複製品。這塊船形墨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是把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松木煙灰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BA0A76">
        <w:rPr>
          <w:rFonts w:eastAsia="Source Han Sans TW Normal" w:hint="eastAsia"/>
          <w:color w:val="000000" w:themeColor="text1"/>
          <w:sz w:val="22"/>
          <w:lang w:eastAsia="zh-TW"/>
        </w:rPr>
        <w:t>熬製的動物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膠揉在一起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製成的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。當時的文人墨客可能就使用這樣的書寫工具來記錄《萬葉集》中的一些和歌（日本傳統的詩歌形式）。《萬葉集》是一部具有重要文化價值的和歌選集，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書中和歌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來自日本各地</w:t>
      </w:r>
      <w:r w:rsidRPr="004A26F1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其中也有一些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大宰府（今太宰府，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世紀以前的名稱）創作的詩歌。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FD"/>
    <w:rsid w:val="00346BD8"/>
    <w:rsid w:val="007076FD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7F3D3-96A0-407C-A40C-CECD6D9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6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6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6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6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7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6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6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6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6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