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4DC" w:rsidRPr="003E5760" w:rsidRDefault="000A14DC" w:rsidP="000A14D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高桥家族住宅</w:t>
      </w:r>
    </w:p>
    <w:p/>
    <w:p w:rsidR="000A14DC" w:rsidRDefault="000A14DC" w:rsidP="000A14D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高桥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住宅就坐落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通往龙源寺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间步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（矿坑通道）的道路旁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由此可见，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家族在本地矿业中占据着重要的地位。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1839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年，石见银山的矿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们推举当时的高桥家族家主高桥富三郎担任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矿主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与本地代官所之间的联络人</w:t>
      </w:r>
      <w:r w:rsidRPr="00F30187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代表江户（今东京）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幕府中央政权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管理本地事务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的地方行政部门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代官主要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负责雇佣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供应商、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发放采矿许可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监督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确保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白银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平安抵达江户。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因此，</w:t>
      </w:r>
      <w:r w:rsidRPr="00F30187">
        <w:rPr>
          <w:rFonts w:eastAsia="Source Han Sans CN Normal" w:hint="eastAsia"/>
          <w:bCs/>
          <w:color w:val="000000" w:themeColor="text1"/>
          <w:sz w:val="22"/>
          <w:lang w:eastAsia="zh-CN"/>
        </w:rPr>
        <w:t>联络人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的角色十分关键，需要在矿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代官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之间调停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沟通。</w:t>
      </w:r>
    </w:p>
    <w:p w:rsidR="000A14DC" w:rsidRPr="003C663E" w:rsidRDefault="000A14DC" w:rsidP="000A14D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通过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参与矿山管理，高桥家族逐渐积累起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可观的财富，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乃至建造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了一座本地区最大、最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奢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华的住宅。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此住宅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建成于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1860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年前后，由面向道路的主屋、庭园茶室和后侧的独立小屋组成。住宅目前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虽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不对外开放，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但人们依然可以窥见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在石见银山的白银生产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开始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进入现代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的那个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期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，富有的本地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矿主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及其家族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生活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面貌</w:t>
      </w:r>
      <w:r w:rsidRPr="003E5760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C"/>
    <w:rsid w:val="000A14D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54121-136A-4F50-BE3F-0C3B791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14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14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14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14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14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14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14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14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14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14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14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14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1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14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1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