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庆留间村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村：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的慢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奏生活方式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的村庄在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生了巨大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化。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多木屋在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月的美国海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中被摧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。随着和平年代的到来，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模更大的混凝土建筑很大程度上取代了原来的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单层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木制建筑，房屋周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和古老珊瑚石灰岩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成了混凝土砌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。然而，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仍然留有大量原汁原味的冲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特色元素，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多古老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仍保留在原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体味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间绿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”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上同名的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村（人口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人）是一个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朴的小村庄，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里是了解二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村庄的好地方。您可以沿着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结实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或成排的藤黄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（充当天然防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林）之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砌沙路或茂密草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漫步，享受与色彩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缤纷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类、蝴蝶和野花的邂逅。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的世界，而是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的世界！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以下是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旅游景点。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•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传统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船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住宅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，以航海致富的当地人住宅被称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宅邸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。高良家宅邸是一座保存得相当完好的船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之家，屋前矗立着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最宏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富裕家庭一直延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的生活方式。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•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儿童慰灵碑</w:t>
      </w:r>
    </w:p>
    <w:p w:rsidR="004215FE" w:rsidRPr="000706C6" w:rsidRDefault="004215FE" w:rsidP="004215FE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鸠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之塔，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座慰灵碑位于地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势较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后的大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模自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名村内儿童，以及在北太平洋日属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乱中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名儿童。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座慰灵碑俯瞰着小村庄和当地学校，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孩子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的灵魂感受到家的温馨。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346BD8"/>
    <w:rsid w:val="004215F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CD88D-2961-4DE4-99AE-B30285C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15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15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15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1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15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15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15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15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15F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215F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