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248D" w:rsidRPr="000706C6" w:rsidRDefault="0075248D" w:rsidP="0075248D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>
        <w:rPr>
          <w:b/>
        </w:rPr>
        <w:t>高月山漫步</w:t>
      </w:r>
    </w:p>
    <w:p w:rsidR="0075248D" w:rsidRPr="000706C6" w:rsidRDefault="0075248D" w:rsidP="0075248D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/>
    </w:p>
    <w:p w:rsidR="0075248D" w:rsidRPr="000706C6" w:rsidRDefault="0075248D" w:rsidP="0075248D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座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味高月山漫步</w:t>
      </w:r>
    </w:p>
    <w:p w:rsidR="0075248D" w:rsidRPr="000706C6" w:rsidRDefault="0075248D" w:rsidP="0075248D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轻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松的爬山徒步旅行，参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二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战纪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念碑，欣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赏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具有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历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史意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义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的海湾</w:t>
      </w:r>
    </w:p>
    <w:p w:rsidR="0075248D" w:rsidRPr="000706C6" w:rsidRDefault="0075248D" w:rsidP="0075248D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75248D" w:rsidRPr="000706C6" w:rsidRDefault="0075248D" w:rsidP="0075248D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味港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高月山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味港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75248D" w:rsidRPr="000706C6" w:rsidRDefault="0075248D" w:rsidP="0075248D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路程：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  <w:t>3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公里（往返）</w:t>
      </w:r>
    </w:p>
    <w:p w:rsidR="0075248D" w:rsidRPr="000706C6" w:rsidRDefault="0075248D" w:rsidP="0075248D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总时长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  <w:t>40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以上</w:t>
      </w:r>
    </w:p>
    <w:p w:rsidR="0075248D" w:rsidRPr="000706C6" w:rsidRDefault="0075248D" w:rsidP="0075248D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简单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</w:p>
    <w:p w:rsidR="0075248D" w:rsidRPr="000706C6" w:rsidRDefault="0075248D" w:rsidP="0075248D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75248D" w:rsidRPr="000706C6" w:rsidRDefault="0075248D" w:rsidP="0075248D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概述</w:t>
      </w:r>
    </w:p>
    <w:p w:rsidR="0075248D" w:rsidRPr="000706C6" w:rsidRDefault="0075248D" w:rsidP="0075248D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条徒步路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从座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味港出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，途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和平之塔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纪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念碑，到达高月山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景台，随后返回。您将从海拔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攀爬至海拔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137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，因此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注意，在温暖季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，爬坡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您可能会出汗！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单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程徒步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约为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，但您可能需要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留更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长时间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，以便从容欣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山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的景色。高月山漫步不同于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月球漫步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，也与月球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环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形山并无关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哦！</w:t>
      </w:r>
    </w:p>
    <w:p w:rsidR="0075248D" w:rsidRPr="000706C6" w:rsidRDefault="0075248D" w:rsidP="0075248D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75248D" w:rsidRPr="000706C6" w:rsidRDefault="0075248D" w:rsidP="0075248D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行程</w:t>
      </w:r>
    </w:p>
    <w:p w:rsidR="0075248D" w:rsidRPr="000706C6" w:rsidRDefault="0075248D" w:rsidP="0075248D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对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大海，步行穿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味村内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地区，途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味村役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和学校。出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发约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后，您已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爬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了一段山路，此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会看到一条岔路，沿着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条岔路步行即可到达和平之塔，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是一座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纪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念在二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中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生的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1200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民和士兵的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纪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念碑，位于俯瞰座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铁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木林中。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75248D" w:rsidRPr="000706C6" w:rsidRDefault="0075248D" w:rsidP="0075248D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75248D" w:rsidRPr="000706C6" w:rsidRDefault="0075248D" w:rsidP="0075248D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纪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念碑后，返回上山道路并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继续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爬山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5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，您将在正前方看到一条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宽阔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的石板路，其右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有一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两条路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均可通往高月山山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。明智做法是沿一条路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上山，然后沿另一条路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下山，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绕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一小圈。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75248D" w:rsidRPr="000706C6" w:rsidRDefault="0075248D" w:rsidP="0075248D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75248D" w:rsidRPr="000706C6" w:rsidRDefault="0075248D" w:rsidP="0075248D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在山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上，您可以将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东边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宁静的安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护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之浦尽收眼底。琉球王国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期，往返冲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与中国的帆船会在此下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，以等待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顺风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。（如果您喜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爱这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里的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光，安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护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之浦海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也是散步的好地方。）向西望去，可以尽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览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古座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雅的弧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</w:p>
    <w:p w:rsidR="0075248D" w:rsidRPr="000706C6" w:rsidRDefault="0075248D" w:rsidP="0075248D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75248D" w:rsidRPr="000706C6" w:rsidRDefault="0075248D" w:rsidP="0075248D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当运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后燥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热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散去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，您便可以开始下山，重新回到山路，然后按原路返回座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味。如果您想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行全身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锻炼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，可以在港口大楼的礼品店租用北欧式健走手杖。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8D"/>
    <w:rsid w:val="00346BD8"/>
    <w:rsid w:val="007445C7"/>
    <w:rsid w:val="0075248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230BD2-FCC8-4F81-8057-5247ED0E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24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4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4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4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4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4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4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24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24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248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24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24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24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24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24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24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24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2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4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2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4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2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48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24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2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24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248D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75248D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2024-06-13T12:41:00Z</dcterms:created>
  <dcterms:modified xsi:type="dcterms:W3CDTF">2024-06-13T12:41:00Z</dcterms:modified>
</cp:coreProperties>
</file>