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B0E" w:rsidRPr="00FD1ACB" w:rsidRDefault="00263B0E" w:rsidP="00263B0E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福神山間步</w:t>
      </w:r>
    </w:p>
    <w:p/>
    <w:p w:rsidR="00263B0E" w:rsidRPr="004D7F75" w:rsidRDefault="00263B0E" w:rsidP="00263B0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A08F5">
        <w:rPr>
          <w:rFonts w:eastAsia="Source Han Sans TW Normal"/>
          <w:color w:val="000000" w:themeColor="text1"/>
          <w:sz w:val="22"/>
          <w:lang w:eastAsia="zh-TW"/>
        </w:rPr>
        <w:t>福神山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間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步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礦坑通道）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是石見銀山產量最高的礦坑之一。它由三條礦道組成，其中兩條相互連通，從銀山川下方穿過，向銀山礦區的中心仙之山延伸；另一條通風道則位於它們的正上方。福神山間步位於通往龍源寺間步的道路沿線，後者是石見銀山唯一全年開放參觀的礦坑通道。福神山間步雖然禁止進入，卻另有引人注目之處，它的發展史恰好說明了在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世紀銀礦產量下降後，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礦產的所有權和管理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模式的變遷過程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263B0E" w:rsidRPr="00A463C1" w:rsidRDefault="00263B0E" w:rsidP="00263B0E">
      <w:pPr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4D7F75">
        <w:rPr>
          <w:rFonts w:eastAsia="Source Han Sans TW Normal"/>
          <w:color w:val="000000" w:themeColor="text1"/>
          <w:sz w:val="22"/>
          <w:lang w:eastAsia="zh-TW"/>
        </w:rPr>
        <w:t>這條礦道由一位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山師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（探礦者）獨立勘探挖掘，意指山師自己選定地點，向掌管礦山的代官所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（幕府在地方的代表處）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申請開採許可，投入自有資金開採。只要向</w:t>
      </w:r>
      <w:r w:rsidRPr="004D7F7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地方最高行政長官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「代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官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證明自己有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能力完成規定的銀產量，就能獲得礦道所有權</w:t>
      </w:r>
      <w:r w:rsidRPr="00A463C1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這種許可機制在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世紀很普遍</w:t>
      </w:r>
      <w:r w:rsidRPr="004B709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因為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當時銀礦產業蓬勃興盛，即便維護礦道耗資不菲，私人礦主依然能從中獲利。然而，進入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世紀以後，大部分可開採的銀礦資源都已漸漸枯竭，收益大幅下降。於是，代官所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撥出公款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收購包括福神山間步在內依然具有開採價值的多條礦道，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並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維持礦道經營。在礦山部分「國有化」的同時，政府還推出了一系列試圖提高銀產量的公共工程建設，然而一切努力終究未能重現石見銀山往昔的輝煌。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0E"/>
    <w:rsid w:val="00102A26"/>
    <w:rsid w:val="00263B0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D3255-90FB-4685-9DC8-635A1430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B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3B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3B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3B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3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3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3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3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3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3B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3B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3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3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3B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3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3B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3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