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263" w:rsidRPr="00FD1ACB" w:rsidRDefault="00683263" w:rsidP="0068326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福神山间步</w:t>
      </w:r>
    </w:p>
    <w:p/>
    <w:p w:rsidR="00683263" w:rsidRPr="004D7F75" w:rsidRDefault="00683263" w:rsidP="0068326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15FFE">
        <w:rPr>
          <w:rFonts w:eastAsia="Source Han Sans CN Normal"/>
          <w:color w:val="000000" w:themeColor="text1"/>
          <w:sz w:val="22"/>
          <w:lang w:eastAsia="zh-CN"/>
        </w:rPr>
        <w:t>福神山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间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”（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矿坑通道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是石见银山产量最高的矿坑之一。它由三条矿道组成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其中两条相互连通，穿过银山川下方，向银山矿区的中心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仙之山延伸；另一条位于它们的正上方，是通风道。福神山间步位于通往龙源寺间步的道路沿线，后者是石见银山唯一全年开放参观的矿坑通道。福神山间步虽然不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能进入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，却另有引人注目之处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它的发展历史恰好体现了在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世纪银矿产量下降后，本地的矿产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所有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权和管理模式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的变迁过程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83263" w:rsidRPr="00F55081" w:rsidRDefault="00683263" w:rsidP="0068326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D7F75">
        <w:rPr>
          <w:rFonts w:eastAsia="Source Han Sans CN Normal"/>
          <w:color w:val="000000" w:themeColor="text1"/>
          <w:sz w:val="22"/>
          <w:lang w:eastAsia="zh-CN"/>
        </w:rPr>
        <w:t>这条矿道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由一位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山师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”（探矿者）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独立勘探挖掘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山师选定地点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，从掌管矿山的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代官所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取得开采许可，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然后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自己投入资金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进行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开采。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只要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地方最高行政长官“代官”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证明自己有能力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完成规定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银产量，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就能获得矿道所有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这种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许可机制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世纪很普遍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。由于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当时银矿产业蓬勃兴盛，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所以即便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维护矿道耗资不菲，私人矿主依然能从中获利。然而，进入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世纪以后，大部分可开采的银矿资源都已渐渐枯竭，收益大幅下降。于是，代官所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拨出公共资金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收购包括福神山间步在内依然具有开采价值的多条矿道，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并维持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矿道运营。在矿山部</w:t>
      </w:r>
      <w:r w:rsidRPr="00E93EE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分“国有化”的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同时，政府还展开了一系列旨在提高银产量的公共工程项目，只是一切努力终究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未</w:t>
      </w:r>
      <w:r w:rsidRPr="00715FFE">
        <w:rPr>
          <w:rFonts w:eastAsia="Source Han Sans CN Normal"/>
          <w:color w:val="000000" w:themeColor="text1"/>
          <w:sz w:val="22"/>
          <w:lang w:eastAsia="zh-CN"/>
        </w:rPr>
        <w:t>能重现石见银山往昔的辉煌。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63"/>
    <w:rsid w:val="00102A26"/>
    <w:rsid w:val="00346BD8"/>
    <w:rsid w:val="0068326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DC31B-D415-4156-9096-154FDE79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2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2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2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2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2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2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2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2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