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38B3" w:rsidRPr="000706C6" w:rsidRDefault="000238B3" w:rsidP="000238B3">
      <w:pPr>
        <w:contextualSpacing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>
        <w:rPr>
          <w:b/>
        </w:rPr>
        <w:t>阿波连海滩和鲣渔业</w:t>
      </w:r>
    </w:p>
    <w:p/>
    <w:p w:rsidR="000238B3" w:rsidRPr="000706C6" w:rsidRDefault="000238B3" w:rsidP="000238B3">
      <w:pPr>
        <w:contextualSpacing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  <w:t>1903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鲣渔业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开始在渡嘉敷村兴起，并成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了阿波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村的一大繁荣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产业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砖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结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构是一家熏制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鲣鱼块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鲣节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）工厂的烟囱的一部分。捕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捞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起的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鲣鱼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被直接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倾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倒在海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上，等待工人拾起并运往工厂。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鲣鱼块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的制作方式是去除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脏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、将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肉去骨切片并煮沸，然后蒸制以减少水分含量。然后，用柴火将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鱼块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烤干，并用烟囱排出烟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雾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0238B3" w:rsidRPr="000706C6" w:rsidRDefault="000238B3" w:rsidP="000238B3">
      <w:pPr>
        <w:contextualSpacing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第二次世界大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战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后的一段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时间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内，阿波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的船只每天会出海两至三次，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两家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鲣节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工厂提供原料。随着大型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渔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船投入使用，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鲣渔业规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模不断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扩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大，村民的生活条件也得到了改善。直到明治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代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(1868–1912)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中期，阿波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许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多房屋仍使用茅草屋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随着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鲣渔业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润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的提升，村民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修建了越来越多的瓦屋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，反映了村中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经济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水平与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鲣渔业齐头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B3"/>
    <w:rsid w:val="000238B3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D9FC50-2892-41D6-9861-B68DE40F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38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8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8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8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8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8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38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38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38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3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3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3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3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3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38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38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3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8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3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8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3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8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38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3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38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38B3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0238B3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