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0AA" w:rsidRPr="00FF03C3" w:rsidRDefault="005C50AA" w:rsidP="005C50A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爱宕社本殿</w:t>
      </w:r>
    </w:p>
    <w:p/>
    <w:p w:rsidR="005C50AA" w:rsidRPr="00FB4FB1" w:rsidRDefault="005C50AA" w:rsidP="005C50A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爱宕社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，音同“荡”）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建在大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讲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堂北侧的斜坡上，俯瞰着圆教寺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三之堂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。这座神道教神社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建造时间不晚于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世纪早期，得名自镇火之神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爱宕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在守护三之堂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再遭受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1331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那场摧毁全寺的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大火之灾。优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美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的流线型屋顶是爱宕社的特色所在，上万片薄木板铺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就的</w:t>
      </w:r>
      <w:r w:rsidRPr="007B3F19">
        <w:rPr>
          <w:rFonts w:eastAsia="Source Han Sans CN Normal" w:hint="eastAsia"/>
          <w:bCs/>
          <w:color w:val="000000" w:themeColor="text1"/>
          <w:sz w:val="22"/>
          <w:lang w:eastAsia="zh-CN"/>
        </w:rPr>
        <w:t>杮葺屋顶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优雅地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向前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方倾斜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，形成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上翘的拱形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曲线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拱形天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顶下悬挂着钟，供参拜者鸣钟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爱宕神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示意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，祈祷并献上供品。</w:t>
      </w:r>
    </w:p>
    <w:p w:rsidR="005C50AA" w:rsidRPr="00FB4FB1" w:rsidRDefault="005C50AA" w:rsidP="005C50A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圆教寺内的一些神社与日本本土的神道教有关。在佛教寺庙内设立神社的情况并不少见，特别是在密宗中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通常是“神佛习合”（神道教与佛教融合）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近代以前，佛教和神道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教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之间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无明显分界，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人们经常将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两种宗教的神明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交融在一起崇拜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，爱宕社也是其中一例。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AA"/>
    <w:rsid w:val="00102A26"/>
    <w:rsid w:val="00346BD8"/>
    <w:rsid w:val="005C50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C7536-F755-49D6-87F5-43B87D4E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50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50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50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50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50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50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50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5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50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5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