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96DC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加賀蒔繪</w:t>
      </w:r>
    </w:p>
    <w:p/>
    <w:p w14:paraId="1B557168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br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加賀蒔繪是江戶時代（西元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）來自加賀藩（今石川縣和富山縣）的一種漆器風格，其特點是使用一種名為「蒔繪」的技法，將金粉等金屬粉末撒在軟漆上來打造圖案和設計，藉此為物品加上華麗的裝飾。</w:t>
      </w:r>
    </w:p>
    <w:p w14:paraId="37EC6372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2AFDCE4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藩過去由前田家統治，由於此地盛產稻米，而稻米是江戶時代經濟的基礎，讓前田家得以累積大量財富。不僅如此，前田家投入資源發展文化事業，頻繁地招募日本技藝最精湛的工匠，並為他們提供所有需要的資源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世紀初，藩主前田利常（西元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1593–1658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）邀請兩位蒔繪大師到金澤城附近進行創作，他們分別是來自江戶（今東京）的清水九兵衛（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1688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），以及來自京都的初代五十嵐道甫（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1678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）。兩人創作了一些廣受讚譽的加賀蒔繪作品，並培養出加賀蒔繪的後繼者，為今日金澤漆器享有的盛譽奠定基礎。</w:t>
      </w:r>
    </w:p>
    <w:p w14:paraId="2FB9CD74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60B9E95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漆器的表面會塗上漆樹的黏稠樹液，而且必須塗上好幾層，每次塗漆後還需要留足夠的時間讓樹液硬化，然後才能再塗下一層。此外，使用蒔繪技法裝飾的漆器也需用到貴金屬。上述因素讓加賀蒔繪耗時又昂貴，只有富裕階層才負擔得起。因此一般來說，加賀工匠的作品反映了統治階層的品味和興趣。使用加賀蒔繪裝飾的物品包括馬鞍、馬鐙和刀鞘等武具，以及文具盒、茶道用具等家居用品。加賀蒔繪的裝飾一般華麗而複雜，描繪了自然美景，讓人聯想到著名詩歌，或民間傳說中的吉祥圖案。</w:t>
      </w:r>
    </w:p>
    <w:p w14:paraId="06CF7088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5F1CBFEF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至於加賀蒔繪的作品則通常結合多種技法，打造具有紋理和深度的立體效果，例如「肉合研出蒔繪」技法便結合了「研出蒔繪」（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拋光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）和「高蒔繪」（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堆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高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）。研出蒔繪技法是用漆和粉末打造淺浮雕效果，等到濕漆乾燥後，便在作品上再塗抹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一層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黑漆或清漆。最後，再用木炭將這層漆磨平，直到金粉圖案顯露出來，與新的表面齊平。至於高蒔繪技法，則是以多層漆和木炭或黏土粉打造表面設計，然後再撒上金屬粉末。蒔繪技法通常會與卵殼技法和螺鈿技法等其他裝飾技法結合使用，為作品帶來更豐富的色彩。</w:t>
      </w:r>
    </w:p>
    <w:p w14:paraId="6CFC2C4E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213CAF8A" w14:textId="77777777" w:rsidR="00C353AC" w:rsidRPr="00C77F89" w:rsidRDefault="00C353AC" w:rsidP="00C353A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石川縣立美術館收藏的加賀蒔繪作品，包括清水九兵衛於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世紀製作的豪華讀書架，以及初代五十嵐道甫製作的文具箱，這件文具箱使用蒔繪和螺鈿技法，描繪了秋季月光下的田野景色。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2T17:41:00Z" w:initials="u">
    <w:p w14:paraId="59CC057F" w14:textId="77777777" w:rsidR="00C353AC" w:rsidRDefault="00C353AC" w:rsidP="00C353A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2FBAC89" w14:textId="77777777" w:rsidR="00C353AC" w:rsidRDefault="00C353AC" w:rsidP="00C353AC">
      <w:pPr>
        <w:pStyle w:val="aa"/>
      </w:pPr>
      <w:r>
        <w:rPr>
          <w:rFonts w:hint="eastAsia"/>
        </w:rPr>
        <w:t>これまでは「拋光」や「打磨」ですが、統一する必要はないでしょうか。</w:t>
      </w:r>
    </w:p>
  </w:comment>
  <w:comment w:id="1" w:author="Venus Tong" w:date="2024-02-20T20:32:00Z" w:initials="VT">
    <w:p w14:paraId="0C16BD9E" w14:textId="77777777" w:rsidR="00C353AC" w:rsidRDefault="00C353AC" w:rsidP="00C353A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統一いたしました。</w:t>
      </w:r>
    </w:p>
  </w:comment>
  <w:comment w:id="2" w:author="チェッカー" w:date="2024-01-22T17:38:00Z" w:initials="u">
    <w:p w14:paraId="5F751291" w14:textId="77777777" w:rsidR="00C353AC" w:rsidRDefault="00C353AC" w:rsidP="00C353A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956300A" w14:textId="77777777" w:rsidR="00C353AC" w:rsidRDefault="00C353AC" w:rsidP="00C353AC">
      <w:pPr>
        <w:pStyle w:val="aa"/>
      </w:pPr>
      <w:r>
        <w:rPr>
          <w:rFonts w:hint="eastAsia"/>
        </w:rPr>
        <w:t>これまでは「堆高」ですが、統一する必要はないでしょうか。念のためご確認をお願いいたします。</w:t>
      </w:r>
    </w:p>
  </w:comment>
  <w:comment w:id="3" w:author="Venus Tong" w:date="2024-02-20T20:32:00Z" w:initials="VT">
    <w:p w14:paraId="6A7DC559" w14:textId="77777777" w:rsidR="00C353AC" w:rsidRDefault="00C353AC" w:rsidP="00C353AC">
      <w:pPr>
        <w:jc w:val="left"/>
      </w:pPr>
      <w:r>
        <w:rPr>
          <w:rStyle w:val="ac"/>
        </w:rPr>
        <w:annotationRef/>
      </w:r>
      <w:r>
        <w:rPr>
          <w:rFonts w:hint="eastAsia"/>
        </w:rPr>
        <w:t>統一いたしました。</w:t>
      </w:r>
    </w:p>
  </w:comment>
  <w:comment w:id="4" w:author="チェッカー" w:date="2024-01-22T17:14:00Z" w:initials="u">
    <w:p w14:paraId="7608DFBD" w14:textId="77777777" w:rsidR="00C353AC" w:rsidRDefault="00C353AC" w:rsidP="00C353A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D7C51E4" w14:textId="77777777" w:rsidR="00C353AC" w:rsidRDefault="00C353AC" w:rsidP="00C353AC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13T15:44:00Z" w:initials="VT">
    <w:p w14:paraId="355E77F6" w14:textId="77777777" w:rsidR="00C353AC" w:rsidRDefault="00C353AC" w:rsidP="00C353A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2FBAC89" w15:done="0"/>
  <w15:commentEx w15:paraId="0C16BD9E" w15:paraIdParent="02FBAC89" w15:done="0"/>
  <w15:commentEx w15:paraId="2956300A" w15:done="0"/>
  <w15:commentEx w15:paraId="6A7DC559" w15:paraIdParent="2956300A" w15:done="0"/>
  <w15:commentEx w15:paraId="4D7C51E4" w15:done="0"/>
  <w15:commentEx w15:paraId="355E77F6" w15:paraIdParent="4D7C51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E40E02" w16cex:dateUtc="2024-01-22T08:41:00Z"/>
  <w16cex:commentExtensible w16cex:durableId="33F8C06C" w16cex:dateUtc="2024-02-20T11:32:00Z"/>
  <w16cex:commentExtensible w16cex:durableId="672BC6E4" w16cex:dateUtc="2024-01-22T08:38:00Z"/>
  <w16cex:commentExtensible w16cex:durableId="0B5F4058" w16cex:dateUtc="2024-02-20T11:32:00Z"/>
  <w16cex:commentExtensible w16cex:durableId="3105D638" w16cex:dateUtc="2024-01-22T08:14:00Z"/>
  <w16cex:commentExtensible w16cex:durableId="5F8DCD40" w16cex:dateUtc="2024-02-13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FBAC89" w16cid:durableId="27E40E02"/>
  <w16cid:commentId w16cid:paraId="0C16BD9E" w16cid:durableId="33F8C06C"/>
  <w16cid:commentId w16cid:paraId="2956300A" w16cid:durableId="672BC6E4"/>
  <w16cid:commentId w16cid:paraId="6A7DC559" w16cid:durableId="0B5F4058"/>
  <w16cid:commentId w16cid:paraId="4D7C51E4" w16cid:durableId="3105D638"/>
  <w16cid:commentId w16cid:paraId="355E77F6" w16cid:durableId="5F8DCD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AC"/>
    <w:rsid w:val="00102A26"/>
    <w:rsid w:val="00346BD8"/>
    <w:rsid w:val="00BD54C2"/>
    <w:rsid w:val="00C353AC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1934C"/>
  <w15:chartTrackingRefBased/>
  <w15:docId w15:val="{3D52AB39-159D-44F0-8C24-2343D8A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53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3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3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3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3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3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3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53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53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53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53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53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53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3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3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53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5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53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53A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C353A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C353AC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C353AC"/>
    <w:rPr>
      <w:sz w:val="18"/>
      <w:szCs w:val="18"/>
    </w:rPr>
  </w:style>
  <w:style w:type="paragraph" w:customStyle="1" w:styleId="JA">
    <w:name w:val="JA"/>
    <w:basedOn w:val="a"/>
    <w:qFormat/>
    <w:rsid w:val="00C353A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