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大口徑火器和騎兵火器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eastAsia="zh-TW"/>
        </w:rPr>
      </w:pPr>
      <w:r/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大筒：大口徑火繩槍</w:t>
      </w:r>
    </w:p>
    <w:p w:rsidR="000C4E54" w:rsidRPr="00420926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友宗麟（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1530-1587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）是日本九州的一位吉利支丹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（自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世紀至明治時代</w:t>
      </w:r>
      <w:r w:rsidRPr="0042092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日本基督教徒）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大名（領主），他被認為是將大口徑火器引入日本的功臣。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1576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年，為了對抗領地內的對手，大友宗麟向葡萄牙人尋求幫助，購買到幾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支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重型槍械，這就是後來被稱為「大筒」的大口徑火繩槍。有關這些槍支的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技術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訊息很快傳播開來，到了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世紀末，日本本國的槍械工匠便已造出了自己的大筒。</w:t>
      </w:r>
    </w:p>
    <w:p w:rsidR="000C4E54" w:rsidRPr="00420926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雖然構造原理與火繩槍非常相似，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但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就殺傷力而言，大筒更接近加農炮，就算是最小型的大筒，炮彈口徑也有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26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毫米，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射程在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500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左右，通常被用來攻擊城郭或其他防禦工事。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大筒在大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坂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之陣（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1614-1615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）中扮演了重要角色，這場圍城戰是德川幕府（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1603-1867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）政權與前政府軍之間爆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發的最後一場大規模戰役。相傳，大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坂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城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（今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大阪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守軍的士氣就是在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30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毫米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口徑大筒一連數日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、</w:t>
      </w:r>
      <w:r w:rsidRPr="00140E5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晝夜不停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的攻擊下消磨殆盡的。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世紀至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18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世紀，日本的槍械工匠們</w:t>
      </w:r>
      <w:r w:rsidRPr="00CC213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將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基礎版大筒</w:t>
      </w:r>
      <w:r w:rsidRPr="00CC213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加以改良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，最終造出了口徑達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100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毫米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的大筒。在歐洲，類似口徑的野戰加農炮被廣泛應用於拿破崙戰爭</w:t>
      </w:r>
      <w:r w:rsidRPr="00CC213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CC213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1803-1815</w:t>
      </w:r>
      <w:r w:rsidRPr="00CC213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中。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抱式大筒：重型火繩槍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能夠手持開火的大筒被稱為「抱式大筒」。手持沉重的大筒</w:t>
      </w: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並非易事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，大筒本身的重量和射擊時產生的後坐力讓它們很難瞄準目標精</w:t>
      </w: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準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發射。當時日本的火繩槍沒有配備西洋槍械那樣的肩托，但槍手們</w:t>
      </w: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卻練就出一身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不依</w:t>
      </w: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靠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外物支撐來操作這種威力強大的重型火繩槍的方法。他們或站，或跪著將左肘支撐在立起的左膝上射擊，在射擊時迅速抽回右臂，引導後坐力向上而非向後作用。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由於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大筒</w:t>
      </w: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有著攜帶方便及殺傷力大的優點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，深</w:t>
      </w: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受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武士階層將領的喜愛。這種武器威力強大，</w:t>
      </w:r>
      <w:r w:rsidRPr="000404B2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shd w:val="clear" w:color="auto" w:fill="FFFFFF"/>
          <w:lang w:eastAsia="zh-TW"/>
        </w:rPr>
        <w:t>還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能攜帶著穿行於狹窄的街道</w:t>
      </w:r>
      <w:r w:rsidRPr="000566B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巷弄中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，或攀</w:t>
      </w:r>
      <w:r w:rsidRPr="000404B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爬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蜿蜒的山路，這是車載加農炮所無法做到的。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馬上筒：騎兵火器</w:t>
      </w:r>
    </w:p>
    <w:p w:rsidR="000C4E54" w:rsidRPr="00A51D45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日本的</w:t>
      </w:r>
      <w:r w:rsidRPr="004B11D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槍械</w:t>
      </w:r>
      <w:r w:rsidRPr="004B11D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鍛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造工匠還專門為騎馬作戰的武士研製出了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短筒槍，稱「馬上筒」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。這類武器</w:t>
      </w:r>
      <w:r w:rsidRPr="00651F4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雖然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遠端精</w:t>
      </w:r>
      <w:r w:rsidRPr="00651F4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準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度不足，使用</w:t>
      </w:r>
      <w:r w:rsidRPr="00651F4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起來卻相當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便利。</w:t>
      </w:r>
    </w:p>
    <w:p w:rsidR="000C4E54" w:rsidRPr="003D7E65" w:rsidRDefault="000C4E54" w:rsidP="000C4E5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</w:pP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加藤清正（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1562-1611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）是一位來自日本中部地區的大名，也是馬上槍術高手，曾在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1592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年至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1598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年間多次赴朝鮮半島參戰。在那個時代，只有地位高貴的武士才有資格擁有定</w:t>
      </w:r>
      <w:r w:rsidRPr="00140E5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製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武器，加藤清正卻為騎兵團</w:t>
      </w:r>
      <w:r w:rsidRPr="001C746D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szCs w:val="22"/>
          <w:lang w:eastAsia="zh-TW"/>
        </w:rPr>
        <w:t>全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都配備了特製的馬上筒。</w:t>
      </w:r>
      <w:r w:rsidRPr="001C746D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szCs w:val="22"/>
          <w:lang w:eastAsia="zh-TW"/>
        </w:rPr>
        <w:t>沖陣時，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騎兵團用馬上筒突破敵軍防線，為緊隨其後的長矛手開路。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4"/>
    <w:rsid w:val="000C4E54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50E89-33DC-4EB6-AAFE-AD2BF59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4E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4E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4E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4E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4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4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4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4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4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4E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4E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4E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4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4E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4E5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C4E5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transsent">
    <w:name w:val="transsent"/>
    <w:basedOn w:val="a0"/>
    <w:rsid w:val="000C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