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4E70" w:rsidRPr="00714D48" w:rsidRDefault="007B4E70" w:rsidP="007B4E7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大天守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/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  <w:t>一楼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 xml:space="preserve">(1) 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外墙与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u w:val="single"/>
          <w:lang w:eastAsia="zh-CN"/>
        </w:rPr>
        <w:t>下见板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天守的外墙分为上下两个部分，上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面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是白灰泥墙面，下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面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则覆盖了黑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漆“下见板”（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风雨板）。直接暴露在外的白灰泥墙面易受雨雪侵蚀，因此，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屋檐遮挡不住的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墙面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下方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加装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护板，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以避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免雨雪直接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落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在灰泥墙面上。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右侧照片是原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天守二楼的一截外墙，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年代的修复工程中被拆除。白色灰泥墙面下的墙体为土墙，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先在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木格框架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上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缠绕绳索，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一层层敷上泥土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筑成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。一楼和二楼的外墙厚约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厘米，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应该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足以抵挡火绳枪的正面攻击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高处的墙壁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略薄一些。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照片中另有一块薄墙体，是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1913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完成的那场修复工程中重刷的部分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 xml:space="preserve">(2) 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石落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这些楼板上的开口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架空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天守台之外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，名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叫“石落”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，是一种防御设施。守军可以通过这些开口攻击攀爬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的敌人。顾名思义，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“石落”本该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是投石口，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这里的开口更像是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枪击口。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大天守、乾小天守和渡橹的一楼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共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11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石落，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设在一楼的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墙角和墙面中心点上，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因此能俯瞰整面天守台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 xml:space="preserve">(3) 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地基与武者走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一楼主屋的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地板下是双重木梁构造，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中央部分比四周的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武者走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”（武士走廊）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高出约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厘米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，从缝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可以看到这一结构。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  <w:t>展品简介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大天守的一楼走廊上陈列着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年代大修复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前天守的部分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物品。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天守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u w:val="single"/>
          <w:lang w:eastAsia="zh-CN"/>
        </w:rPr>
        <w:t>土塀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残壁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这段土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塀（白灰泥墙）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残壁原本是大天守二楼外墙的一部分，于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修复期间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拆除。残壁厚约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厘米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绳索缠绕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木框架为墙体骨架，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然后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敷上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数重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泥土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，再涂刷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白色灰泥。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i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iCs/>
          <w:color w:val="000000" w:themeColor="text1"/>
          <w:sz w:val="22"/>
          <w:u w:val="single"/>
          <w:lang w:eastAsia="zh-CN"/>
        </w:rPr>
        <w:t>鯱瓦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“鯱”是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传说中的生物，虎头鱼身。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据说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在城郭建筑的屋顶上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铺设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鯱状瓦便能够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让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建筑物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远离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火患。这里陈列的鯱瓦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自大天守的屋顶。张口状的为雄鯱，原本安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置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在屋脊南端，闭口状的雌鯱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则置于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北端。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鯱真木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这些原本安装在天守屋顶上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小木柱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“鯱真木”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，用于支撑、固定鯱瓦。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木柱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高约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厘米，其中近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80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厘米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插入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鯱瓦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之中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。柱上铭文显示，这些鯱真木出自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1843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年。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地基支柱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这段残木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曾是大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天守地下支撑结构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根立柱之一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年代的修复工程中开挖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地基时发现，除了这根立柱之外，其他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都已腐坏。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世纪末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，大天守开始倾斜，很可能就是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因为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腐坏的地基无法继续支撑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000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吨重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的天守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B4E70" w:rsidRPr="00714D48" w:rsidRDefault="007B4E70" w:rsidP="007B4E7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i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iCs/>
          <w:color w:val="000000" w:themeColor="text1"/>
          <w:sz w:val="22"/>
          <w:u w:val="single"/>
          <w:lang w:eastAsia="zh-CN"/>
        </w:rPr>
        <w:t>芜菁悬鱼</w:t>
      </w:r>
    </w:p>
    <w:p w:rsidR="007B4E70" w:rsidRPr="00714D48" w:rsidRDefault="007B4E70" w:rsidP="007B4E7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这类木制装饰件通常悬挂在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天守侧墙人字形博风板的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下方。悬鱼源自中国，最初多做成鱼形，被认为有避火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之效。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日本传统建筑都是全木结构，火灾的威胁无时不在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，悬鱼可以为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建筑物提供保护。这枚悬鱼中央的图形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为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芜菁（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大头菜，形似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萝卜）。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70"/>
    <w:rsid w:val="00102A26"/>
    <w:rsid w:val="00346BD8"/>
    <w:rsid w:val="007B4E7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DF352-A171-40EA-8A02-3D523D3F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4E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E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E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E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E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E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E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4E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4E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4E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4E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4E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4E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4E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4E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4E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4E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4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E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4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E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4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E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4E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4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4E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4E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2024-07-31T14:48:00Z</dcterms:modified>
</cp:coreProperties>
</file>