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织田有乐生平</w:t>
      </w:r>
    </w:p>
    <w:p/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有乐，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本名织田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长益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，于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1547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年出生于尾张国（今爱知县西部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；“国”是日本古代行政区划，有别于国家。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比起本名来，其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茶</w:t>
      </w:r>
      <w:r w:rsidRPr="000418A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名“有乐”或</w:t>
      </w:r>
      <w:r w:rsidRPr="000418A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</w:t>
      </w:r>
      <w:r w:rsidRPr="000418A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有乐斋”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更为人所知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C5047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尾张国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的统治者、势力强大的织田家族家主织田信秀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(1511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1549)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的第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个儿子。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的兄长织田信长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(1534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1582)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后来成为逐鹿天下、统一日本的三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位“天下人”中的第一位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促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进日本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过渡到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中央集权化的德川幕府。织田有乐与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第二、第三位</w:t>
      </w:r>
      <w:r w:rsidRPr="002804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“天下人”丰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臣秀吉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(1537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1598)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(1543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1616)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也往来甚密。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尽管与诸多强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军事人物的关系密切，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bookmarkStart w:id="1" w:name="_Hlk151288047"/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bookmarkEnd w:id="1"/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被后世铭记却不是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因其战绩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，而是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他卓越的文化成就。</w:t>
      </w:r>
      <w:r w:rsidRPr="003C20DC">
        <w:rPr>
          <w:rFonts w:eastAsia="Source Han Sans CN Normal" w:hint="eastAsia"/>
          <w:bCs/>
          <w:color w:val="000000" w:themeColor="text1"/>
          <w:sz w:val="22"/>
          <w:lang w:eastAsia="zh-CN"/>
        </w:rPr>
        <w:t>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曾跟随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日本历史上最有影响力的茶人千利休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(1522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1591)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学习茶道，在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世纪晚期至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世纪早期动荡的几十年中，经常借茶会之机促成各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大军阀的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和谈。最终，他选择在京都的一间佛寺内隐居，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那里建造了他</w:t>
      </w:r>
      <w:r w:rsidRPr="007C2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的杰作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7C2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如庵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茶室。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青年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时代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织田有乐的青少年时期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鲜为人知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1567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7C257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7C2579">
        <w:rPr>
          <w:rFonts w:eastAsia="Source Han Sans CN Normal" w:hint="eastAsia"/>
          <w:bCs/>
          <w:color w:val="000000" w:themeColor="text1"/>
          <w:sz w:val="22"/>
          <w:lang w:eastAsia="zh-CN"/>
        </w:rPr>
        <w:t>岁的他与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兄长织田</w:t>
      </w:r>
      <w:r w:rsidRPr="007C2579">
        <w:rPr>
          <w:rFonts w:eastAsia="Source Han Sans CN Normal" w:hint="eastAsia"/>
          <w:bCs/>
          <w:color w:val="000000" w:themeColor="text1"/>
          <w:sz w:val="22"/>
          <w:lang w:eastAsia="zh-CN"/>
        </w:rPr>
        <w:t>信长一起来到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后者</w:t>
      </w:r>
      <w:r w:rsidRPr="007C2579">
        <w:rPr>
          <w:rFonts w:eastAsia="Source Han Sans CN Normal" w:hint="eastAsia"/>
          <w:bCs/>
          <w:color w:val="000000" w:themeColor="text1"/>
          <w:sz w:val="22"/>
          <w:lang w:eastAsia="zh-CN"/>
        </w:rPr>
        <w:t>刚刚征服的岐阜城。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1581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基督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教传教士进入该地区，为数百人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施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行了洗礼。尽管没有明确记录，但坊间流传织田有乐也是受洗者之一，他的受洗名叫</w:t>
      </w:r>
      <w:r w:rsidRPr="002D115B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João</w:t>
      </w:r>
      <w:r w:rsidRPr="002D115B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”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（葡萄牙语的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John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），在日语中的发音为</w:t>
      </w:r>
      <w:r w:rsidRPr="002D115B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Jo-an</w:t>
      </w:r>
      <w:r w:rsidRPr="002D115B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”</w:t>
      </w:r>
      <w:r>
        <w:rPr>
          <w:rFonts w:ascii="思源黑体 CN Normal" w:eastAsia="思源黑体 CN Normal" w:hAnsi="思源黑体 CN Normal" w:hint="eastAsia"/>
          <w:bCs/>
          <w:color w:val="000000" w:themeColor="text1"/>
          <w:sz w:val="22"/>
          <w:lang w:eastAsia="zh-CN"/>
        </w:rPr>
        <w:t>。</w:t>
      </w:r>
      <w:r w:rsidRPr="002D115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后来他以同音的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7C2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如庵</w:t>
      </w:r>
      <w:r w:rsidRPr="002D115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7C257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命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自己的茶室。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1582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年，灾祸来袭。织田有乐跟随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织田信长拜访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京都本能寺时，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织田信长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麾下将领明智光秀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(1528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1582)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发动叛乱，将寺院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团团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围住。织田信长不愿沦为阶下囚，自杀身亡。传说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长子织田信忠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100CA">
        <w:rPr>
          <w:rFonts w:eastAsia="Source Han Sans CN Normal"/>
          <w:bCs/>
          <w:color w:val="000000" w:themeColor="text1"/>
          <w:sz w:val="22"/>
          <w:lang w:eastAsia="zh-CN"/>
        </w:rPr>
        <w:t>1557-1582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处在随父亲自尽还是逃生的两难境地中，最终在织田有乐的建议下选择自尽，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织田有乐却脱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逃了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5C35" w:rsidRPr="007C2579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茶会调停人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在织田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信长去世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前，</w:t>
      </w:r>
      <w:r w:rsidRPr="00072D69">
        <w:rPr>
          <w:rFonts w:eastAsia="Source Han Sans CN Normal" w:hint="eastAsia"/>
          <w:bCs/>
          <w:color w:val="000000" w:themeColor="text1"/>
          <w:sz w:val="22"/>
          <w:lang w:eastAsia="zh-CN"/>
        </w:rPr>
        <w:t>千利休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曾出任</w:t>
      </w:r>
      <w:r w:rsidRPr="00072D69">
        <w:rPr>
          <w:rFonts w:eastAsia="Source Han Sans CN Normal" w:hint="eastAsia"/>
          <w:bCs/>
          <w:color w:val="000000" w:themeColor="text1"/>
          <w:sz w:val="22"/>
          <w:lang w:eastAsia="zh-CN"/>
        </w:rPr>
        <w:t>织田家族的顾问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也因此机缘拜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千利休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为师。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几年后，千利休又受聘于丰臣家族，织田有乐再度师从于他。有些文献将其列为千利休门</w:t>
      </w:r>
      <w:r w:rsidRPr="005F38B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下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5F38B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“七哲”之一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醉心茶学的织田有乐在当时的政局中扮演了重要角色。在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世纪后半叶的几次关键事件中，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均以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调停人的身份参加茶会，努力促成了和平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他安排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原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织田信长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麾下大将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丰臣秀吉和织田信长次子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兼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继承人织田信雄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(1558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1630)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谈判，并促成双方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达成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了和平协议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。此后不久，他又参加了丰臣秀吉与其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曾经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的亲信德川家康的茶会，并在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1586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这两大崛起的军事势力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间达成了和解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5C35" w:rsidRPr="005F38BC" w:rsidRDefault="004A5C35" w:rsidP="004A5C35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摇摆的忠心</w:t>
      </w:r>
    </w:p>
    <w:p w:rsidR="004A5C35" w:rsidRPr="005F38BC" w:rsidRDefault="004A5C35" w:rsidP="004A5C35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1598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年丰臣秀吉去世，德川家康趁机填补权力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空白，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与丰臣秀吉的继承人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家臣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展开了斗争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年，德川家康在关原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战中取得决定性胜利，确立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将军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地位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麾下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与了此战，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胜利后获得了大片领地。</w:t>
      </w:r>
    </w:p>
    <w:p w:rsidR="004A5C35" w:rsidRPr="005F38BC" w:rsidRDefault="004A5C35" w:rsidP="004A5C35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1614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年，德川家康成功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征服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了丰臣秀吉的同盟势力，只余下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后者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的侧室淀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殿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夫人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(1567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1615)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及年幼的继承人丰臣秀赖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(1593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1615)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一脉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人以大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（今大阪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据点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，开始招兵买马。织田有乐是淀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殿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夫人的舅父，反复劝说她与德川家康议和，多次遭拒后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感到十分沮丧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1615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初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离开大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。当年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月，德川家康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攻入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城，淀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殿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夫人与丰臣秀赖自尽。</w:t>
      </w:r>
    </w:p>
    <w:p w:rsidR="004A5C35" w:rsidRPr="005F38BC" w:rsidRDefault="004A5C35" w:rsidP="004A5C3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退隐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或许缘于在大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遭受的打击，织田有乐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615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年隐退京都。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1617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年，他与建仁寺商议，希望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允许他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重修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寺内一座破落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“塔头”（附属寺院）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，为自己建造隐居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所。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1618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年，他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迁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入新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居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，将其命名为</w:t>
      </w:r>
      <w:r w:rsidRPr="00510FA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“正传院”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年后，织田有乐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辞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享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75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葬于宅邸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院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5C35" w:rsidRPr="00685F85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织田有乐的传承</w:t>
      </w:r>
    </w:p>
    <w:p w:rsidR="004A5C35" w:rsidRPr="005F38BC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织田有乐的后人和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弟子所传承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茶道流派称为</w:t>
      </w:r>
      <w:r w:rsidRPr="00510FA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“有乐流”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，至今仍然活跃。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有乐苑修建期间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23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，有乐流第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代宗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织田长繁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(1918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1992)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亦曾到访。</w:t>
      </w:r>
    </w:p>
    <w:p w:rsidR="004A5C35" w:rsidRDefault="004A5C35" w:rsidP="004A5C3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认为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，茶道最重要的就是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令客人如沐春风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他反对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那些只会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模仿大师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却不理解茶道真义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也没有自己的思想与创新的习茶者。如庵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的设计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是他独立精神的明证，既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反映了恩师</w:t>
      </w:r>
      <w:r w:rsidRPr="005F38BC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教诲，却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拘泥其中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35"/>
    <w:rsid w:val="00102A26"/>
    <w:rsid w:val="00346BD8"/>
    <w:rsid w:val="004A5C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3801A-C2C8-45C2-A297-4883343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C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C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C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C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5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C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C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5C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5C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5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