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295E" w:rsidRPr="00D63CA9" w:rsidRDefault="00A8295E" w:rsidP="00A8295E">
      <w:pPr>
        <w:spacing w:line="276" w:lineRule="auto"/>
        <w:rPr>
          <w:rFonts w:ascii="Times New Roman" w:eastAsia="Meiryo UI" w:hAnsi="Times New Roman"/>
          <w:b/>
          <w:bCs/>
          <w:sz w:val="22"/>
        </w:rPr>
      </w:pPr>
      <w:r w:rsidRPr="00D63CA9">
        <w:rPr>
          <w:rFonts w:ascii="Times New Roman" w:eastAsia="Meiryo UI" w:hAnsi="Times New Roman" w:hint="eastAsia"/>
          <w:b/>
          <w:bCs/>
          <w:sz w:val="22"/>
        </w:rPr>
        <w:t>混浴の歴史</w:t>
      </w:r>
      <w:r w:rsidRPr="00D63CA9">
        <w:rPr>
          <w:rFonts w:ascii="Times New Roman" w:eastAsia="Meiryo UI" w:hAnsi="Times New Roman"/>
          <w:b/>
          <w:bCs/>
          <w:sz w:val="22"/>
        </w:rPr>
        <w:t xml:space="preserve"> </w:t>
      </w:r>
    </w:p>
    <w:p/>
    <w:p w:rsidR="00A8295E" w:rsidRPr="00D63CA9" w:rsidRDefault="00A8295E" w:rsidP="00A8295E">
      <w:pPr>
        <w:spacing w:line="276" w:lineRule="auto"/>
        <w:rPr>
          <w:rFonts w:ascii="Times New Roman" w:eastAsia="Meiryo UI" w:hAnsi="Times New Roman"/>
          <w:b/>
          <w:bCs/>
          <w:sz w:val="22"/>
        </w:rPr>
      </w:pPr>
      <w:r w:rsidRPr="00D63CA9">
        <w:rPr>
          <w:rFonts w:ascii="Times New Roman" w:eastAsia="Meiryo UI" w:hAnsi="Times New Roman" w:hint="eastAsia"/>
          <w:b/>
          <w:bCs/>
          <w:sz w:val="22"/>
        </w:rPr>
        <w:t>混浴に対する複雑な気持ち</w:t>
      </w:r>
    </w:p>
    <w:p w:rsidR="00A8295E" w:rsidRPr="00D63CA9" w:rsidRDefault="00A8295E" w:rsidP="00A8295E">
      <w:pPr>
        <w:spacing w:line="276" w:lineRule="auto"/>
        <w:rPr>
          <w:rFonts w:ascii="Times New Roman" w:eastAsia="Meiryo UI" w:hAnsi="Times New Roman"/>
          <w:b/>
          <w:bCs/>
          <w:sz w:val="22"/>
        </w:rPr>
      </w:pPr>
    </w:p>
    <w:p w:rsidR="00A8295E" w:rsidRPr="00D63CA9" w:rsidRDefault="00A8295E" w:rsidP="00A8295E">
      <w:pPr>
        <w:spacing w:line="276" w:lineRule="auto"/>
        <w:rPr>
          <w:rFonts w:ascii="Times New Roman" w:eastAsia="Meiryo UI" w:hAnsi="Times New Roman"/>
          <w:sz w:val="22"/>
        </w:rPr>
      </w:pPr>
      <w:r w:rsidRPr="00D63CA9">
        <w:rPr>
          <w:rFonts w:ascii="Times New Roman" w:eastAsia="Meiryo UI" w:hAnsi="Times New Roman" w:hint="eastAsia"/>
          <w:sz w:val="22"/>
        </w:rPr>
        <w:t>江戸（現在の東京）における混浴は「風紀を乱す」として度々法律で規制する取り組みが行われたものの、明治時代（</w:t>
      </w:r>
      <w:r w:rsidRPr="00D63CA9">
        <w:rPr>
          <w:rFonts w:ascii="Times New Roman" w:eastAsia="Meiryo UI" w:hAnsi="Times New Roman"/>
          <w:sz w:val="22"/>
        </w:rPr>
        <w:t>1868-1912</w:t>
      </w:r>
      <w:r w:rsidRPr="00D63CA9">
        <w:rPr>
          <w:rFonts w:ascii="Times New Roman" w:eastAsia="Meiryo UI" w:hAnsi="Times New Roman"/>
          <w:sz w:val="22"/>
        </w:rPr>
        <w:t>）が始まるまで、日本の銭湯や温泉の</w:t>
      </w:r>
      <w:r w:rsidRPr="00D63CA9">
        <w:rPr>
          <w:rFonts w:ascii="Times New Roman" w:eastAsia="Meiryo UI" w:hAnsi="Times New Roman" w:hint="eastAsia"/>
          <w:sz w:val="22"/>
        </w:rPr>
        <w:t>多く</w:t>
      </w:r>
      <w:r w:rsidRPr="00D63CA9">
        <w:rPr>
          <w:rFonts w:ascii="Times New Roman" w:eastAsia="Meiryo UI" w:hAnsi="Times New Roman"/>
          <w:sz w:val="22"/>
        </w:rPr>
        <w:t>は混浴でした。男女が一緒に入浴する光景は、</w:t>
      </w:r>
      <w:r w:rsidRPr="00D63CA9">
        <w:rPr>
          <w:rFonts w:ascii="Times New Roman" w:eastAsia="Meiryo UI" w:hAnsi="Times New Roman"/>
          <w:sz w:val="22"/>
        </w:rPr>
        <w:t>19</w:t>
      </w:r>
      <w:r w:rsidRPr="00D63CA9">
        <w:rPr>
          <w:rFonts w:ascii="Times New Roman" w:eastAsia="Meiryo UI" w:hAnsi="Times New Roman"/>
          <w:sz w:val="22"/>
        </w:rPr>
        <w:t>世紀半ばに初めて日本を訪れた、性的な慎みを重んじるとともに他国にも自分たちの基準を押し付けたがる西洋人にとって、大変な衝撃でした。</w:t>
      </w:r>
    </w:p>
    <w:p w:rsidR="00A8295E" w:rsidRPr="00D63CA9" w:rsidRDefault="00A8295E" w:rsidP="00A8295E">
      <w:pPr>
        <w:spacing w:line="276" w:lineRule="auto"/>
        <w:rPr>
          <w:rFonts w:ascii="Times New Roman" w:eastAsia="Meiryo UI" w:hAnsi="Times New Roman"/>
          <w:sz w:val="22"/>
        </w:rPr>
      </w:pPr>
    </w:p>
    <w:p w:rsidR="00A8295E" w:rsidRPr="00D63CA9" w:rsidRDefault="00A8295E" w:rsidP="00A8295E">
      <w:pPr>
        <w:spacing w:line="276" w:lineRule="auto"/>
        <w:rPr>
          <w:rFonts w:ascii="Times New Roman" w:eastAsia="Meiryo UI" w:hAnsi="Times New Roman"/>
          <w:sz w:val="22"/>
        </w:rPr>
      </w:pPr>
      <w:r w:rsidRPr="00D63CA9">
        <w:rPr>
          <w:rFonts w:ascii="Times New Roman" w:eastAsia="Meiryo UI" w:hAnsi="Times New Roman" w:hint="eastAsia"/>
          <w:sz w:val="22"/>
        </w:rPr>
        <w:t>フランシス・</w:t>
      </w:r>
      <w:r w:rsidRPr="00D63CA9">
        <w:rPr>
          <w:rFonts w:ascii="Times New Roman" w:eastAsia="Meiryo UI" w:hAnsi="Times New Roman"/>
          <w:sz w:val="22"/>
        </w:rPr>
        <w:t>L</w:t>
      </w:r>
      <w:r w:rsidRPr="00D63CA9">
        <w:rPr>
          <w:rFonts w:ascii="Times New Roman" w:eastAsia="Meiryo UI" w:hAnsi="Times New Roman"/>
          <w:sz w:val="22"/>
        </w:rPr>
        <w:t>・ホークスが</w:t>
      </w:r>
      <w:r w:rsidRPr="00D63CA9">
        <w:rPr>
          <w:rFonts w:ascii="Times New Roman" w:eastAsia="Meiryo UI" w:hAnsi="Times New Roman"/>
          <w:sz w:val="22"/>
        </w:rPr>
        <w:t>1856</w:t>
      </w:r>
      <w:r w:rsidRPr="00D63CA9">
        <w:rPr>
          <w:rFonts w:ascii="Times New Roman" w:eastAsia="Meiryo UI" w:hAnsi="Times New Roman"/>
          <w:sz w:val="22"/>
        </w:rPr>
        <w:t>年に書いた、</w:t>
      </w:r>
      <w:r w:rsidRPr="00D63CA9">
        <w:rPr>
          <w:rFonts w:ascii="Times New Roman" w:eastAsia="Meiryo UI" w:hAnsi="Times New Roman"/>
          <w:sz w:val="22"/>
        </w:rPr>
        <w:t>1850</w:t>
      </w:r>
      <w:r w:rsidRPr="00D63CA9">
        <w:rPr>
          <w:rFonts w:ascii="Times New Roman" w:eastAsia="Meiryo UI" w:hAnsi="Times New Roman"/>
          <w:sz w:val="22"/>
        </w:rPr>
        <w:t>年代初頭のアメリカ海軍提督マシュー・ペリーの日本遠征に関する記述の一節を見てみましょう：</w:t>
      </w:r>
    </w:p>
    <w:p w:rsidR="00A8295E" w:rsidRPr="00D63CA9" w:rsidRDefault="00A8295E" w:rsidP="00A8295E">
      <w:pPr>
        <w:spacing w:line="276" w:lineRule="auto"/>
        <w:rPr>
          <w:rFonts w:ascii="Times New Roman" w:eastAsia="Meiryo UI" w:hAnsi="Times New Roman"/>
          <w:sz w:val="22"/>
        </w:rPr>
      </w:pPr>
    </w:p>
    <w:p w:rsidR="00A8295E" w:rsidRPr="00D63CA9" w:rsidRDefault="00A8295E" w:rsidP="00A8295E">
      <w:pPr>
        <w:spacing w:line="276" w:lineRule="auto"/>
        <w:ind w:left="720"/>
        <w:rPr>
          <w:rFonts w:ascii="Times New Roman" w:eastAsia="Meiryo UI" w:hAnsi="Times New Roman"/>
          <w:sz w:val="22"/>
        </w:rPr>
      </w:pPr>
      <w:r w:rsidRPr="00D63CA9">
        <w:rPr>
          <w:rFonts w:ascii="Times New Roman" w:eastAsia="Meiryo UI" w:hAnsi="Times New Roman" w:hint="eastAsia"/>
          <w:sz w:val="22"/>
        </w:rPr>
        <w:t>銭湯のひとつで見られた男女が裸であることを意識せずに入り乱れている光景は、アメリカ人にこの国の住民の道徳観に対する好意的な印象を与えるものではなかった。これは日本全国共通の習慣ではないかもしれず、実際、我々に身近な日本人はそうではないと言うが、日本の下層階級の人々は、東洋のほとんどの国々より道徳的に優れているにもかかわらず、紛れもなく淫らな人々である。</w:t>
      </w:r>
      <w:r w:rsidRPr="00D63CA9">
        <w:rPr>
          <w:rFonts w:ascii="Times New Roman" w:eastAsia="Meiryo UI" w:hAnsi="Times New Roman"/>
          <w:sz w:val="22"/>
        </w:rPr>
        <w:t>[1]</w:t>
      </w:r>
    </w:p>
    <w:p w:rsidR="00A8295E" w:rsidRPr="00D63CA9" w:rsidRDefault="00A8295E" w:rsidP="00A8295E">
      <w:pPr>
        <w:spacing w:line="276" w:lineRule="auto"/>
        <w:ind w:left="720"/>
        <w:rPr>
          <w:rFonts w:ascii="Times New Roman" w:eastAsia="Meiryo UI" w:hAnsi="Times New Roman"/>
          <w:sz w:val="22"/>
        </w:rPr>
      </w:pPr>
    </w:p>
    <w:p w:rsidR="00A8295E" w:rsidRPr="00D63CA9" w:rsidRDefault="00A8295E" w:rsidP="00A8295E">
      <w:pPr>
        <w:spacing w:line="276" w:lineRule="auto"/>
        <w:rPr>
          <w:rFonts w:ascii="Times New Roman" w:eastAsia="Meiryo UI" w:hAnsi="Times New Roman"/>
          <w:sz w:val="22"/>
        </w:rPr>
      </w:pPr>
      <w:r w:rsidRPr="00D63CA9">
        <w:rPr>
          <w:rFonts w:ascii="Times New Roman" w:eastAsia="Meiryo UI" w:hAnsi="Times New Roman" w:hint="eastAsia"/>
          <w:sz w:val="22"/>
        </w:rPr>
        <w:t>ホークスの本の初期の版には、ウィリアム・ハイネによる男女と子供が一緒に入浴している日本の銭湯のイラストも掲載されていました。これはアメリカの読者にとって不届き至極だったため、後の版では削除されました！</w:t>
      </w:r>
    </w:p>
    <w:p w:rsidR="00A8295E" w:rsidRPr="00D63CA9" w:rsidRDefault="00A8295E" w:rsidP="00A8295E">
      <w:pPr>
        <w:spacing w:line="276" w:lineRule="auto"/>
        <w:rPr>
          <w:rFonts w:ascii="Times New Roman" w:eastAsia="Meiryo UI" w:hAnsi="Times New Roman"/>
          <w:sz w:val="22"/>
        </w:rPr>
      </w:pPr>
    </w:p>
    <w:p w:rsidR="00A8295E" w:rsidRPr="00D63CA9" w:rsidRDefault="00A8295E" w:rsidP="00A8295E">
      <w:pPr>
        <w:spacing w:line="276" w:lineRule="auto"/>
        <w:rPr>
          <w:rFonts w:ascii="Times New Roman" w:eastAsia="Meiryo UI" w:hAnsi="Times New Roman" w:cs="Calibri"/>
          <w:sz w:val="22"/>
        </w:rPr>
      </w:pPr>
      <w:r w:rsidRPr="00D63CA9">
        <w:rPr>
          <w:rFonts w:ascii="Times New Roman" w:eastAsia="Meiryo UI" w:hAnsi="Times New Roman" w:hint="eastAsia"/>
          <w:sz w:val="22"/>
        </w:rPr>
        <w:t>来日した外国人は、混浴を日本文化全体の性的な奔放さと同一視することが多かったため、日本人の入浴習慣を否定的に見る傾向がありました。</w:t>
      </w:r>
      <w:r w:rsidRPr="00D63CA9">
        <w:rPr>
          <w:rFonts w:ascii="Times New Roman" w:eastAsia="Meiryo UI" w:hAnsi="Times New Roman"/>
          <w:sz w:val="22"/>
        </w:rPr>
        <w:t>1860</w:t>
      </w:r>
      <w:r w:rsidRPr="00D63CA9">
        <w:rPr>
          <w:rFonts w:ascii="Times New Roman" w:eastAsia="Meiryo UI" w:hAnsi="Times New Roman"/>
          <w:sz w:val="22"/>
        </w:rPr>
        <w:t>年に日本を訪れたイギリス人エドワード・バリントン・ド・フォンブランクは、日本人を「あらゆる意味で下劣で好色で猥褻」と評し、「本や絵の中だけでなく、磁器に描かれ、漆器に箔押しされ、象牙に彫られ、扇に密かに込められたふしだらなもの」について読者に警告しています。</w:t>
      </w:r>
    </w:p>
    <w:p w:rsidR="00A8295E" w:rsidRPr="00D63CA9" w:rsidRDefault="00A8295E" w:rsidP="00A8295E">
      <w:pPr>
        <w:spacing w:line="276" w:lineRule="auto"/>
        <w:rPr>
          <w:rFonts w:ascii="Times New Roman" w:eastAsia="Meiryo UI" w:hAnsi="Times New Roman"/>
          <w:sz w:val="22"/>
        </w:rPr>
      </w:pPr>
    </w:p>
    <w:p w:rsidR="00A8295E" w:rsidRPr="00D63CA9" w:rsidRDefault="00A8295E" w:rsidP="00A8295E">
      <w:pPr>
        <w:autoSpaceDE w:val="0"/>
        <w:autoSpaceDN w:val="0"/>
        <w:adjustRightInd w:val="0"/>
        <w:spacing w:line="276" w:lineRule="auto"/>
        <w:rPr>
          <w:rFonts w:ascii="Times New Roman" w:eastAsia="Meiryo UI" w:hAnsi="Times New Roman" w:cstheme="minorHAnsi"/>
          <w:sz w:val="22"/>
        </w:rPr>
      </w:pPr>
      <w:r w:rsidRPr="00D63CA9">
        <w:rPr>
          <w:rFonts w:ascii="Times New Roman" w:eastAsia="Meiryo UI" w:hAnsi="Times New Roman" w:cstheme="minorHAnsi" w:hint="eastAsia"/>
          <w:sz w:val="22"/>
        </w:rPr>
        <w:t>「文明的な」西洋列強から対等に見られようと必死だった明治政府は、</w:t>
      </w:r>
      <w:r w:rsidRPr="00D63CA9">
        <w:rPr>
          <w:rFonts w:ascii="Times New Roman" w:eastAsia="Meiryo UI" w:hAnsi="Times New Roman" w:cstheme="minorHAnsi"/>
          <w:sz w:val="22"/>
        </w:rPr>
        <w:t>1869</w:t>
      </w:r>
      <w:r w:rsidRPr="00D63CA9">
        <w:rPr>
          <w:rFonts w:ascii="Times New Roman" w:eastAsia="Meiryo UI" w:hAnsi="Times New Roman" w:cstheme="minorHAnsi"/>
          <w:sz w:val="22"/>
        </w:rPr>
        <w:t>年</w:t>
      </w:r>
      <w:r w:rsidRPr="00D63CA9">
        <w:rPr>
          <w:rFonts w:ascii="Times New Roman" w:eastAsia="Meiryo UI" w:hAnsi="Times New Roman" w:cstheme="minorHAnsi"/>
          <w:sz w:val="22"/>
        </w:rPr>
        <w:t>2</w:t>
      </w:r>
      <w:r w:rsidRPr="00D63CA9">
        <w:rPr>
          <w:rFonts w:ascii="Times New Roman" w:eastAsia="Meiryo UI" w:hAnsi="Times New Roman" w:cstheme="minorHAnsi"/>
          <w:sz w:val="22"/>
        </w:rPr>
        <w:t>月、都市部での混浴を禁止しました。現在でも、混浴の営業が許されているのはこの禁止措置以前からある混浴風呂のみで、新たに混浴風呂を開設することは認められていません。</w:t>
      </w:r>
    </w:p>
    <w:p w:rsidR="00A8295E" w:rsidRPr="00D63CA9" w:rsidRDefault="00A8295E" w:rsidP="00A8295E">
      <w:pPr>
        <w:autoSpaceDE w:val="0"/>
        <w:autoSpaceDN w:val="0"/>
        <w:adjustRightInd w:val="0"/>
        <w:spacing w:line="276" w:lineRule="auto"/>
        <w:rPr>
          <w:rFonts w:ascii="Times New Roman" w:eastAsia="Meiryo UI" w:hAnsi="Times New Roman" w:cstheme="minorHAnsi"/>
          <w:sz w:val="22"/>
        </w:rPr>
      </w:pPr>
    </w:p>
    <w:p w:rsidR="00A8295E" w:rsidRPr="00D63CA9" w:rsidRDefault="00A8295E" w:rsidP="00A8295E">
      <w:pPr>
        <w:autoSpaceDE w:val="0"/>
        <w:autoSpaceDN w:val="0"/>
        <w:adjustRightInd w:val="0"/>
        <w:spacing w:line="276" w:lineRule="auto"/>
        <w:rPr>
          <w:rFonts w:ascii="Times New Roman" w:eastAsia="Meiryo UI" w:hAnsi="Times New Roman" w:cstheme="minorHAnsi"/>
          <w:sz w:val="22"/>
        </w:rPr>
      </w:pPr>
      <w:r w:rsidRPr="00D63CA9">
        <w:rPr>
          <w:rFonts w:ascii="Times New Roman" w:eastAsia="Meiryo UI" w:hAnsi="Times New Roman" w:cstheme="minorHAnsi" w:hint="eastAsia"/>
          <w:sz w:val="22"/>
        </w:rPr>
        <w:t>なぜ混浴という誹謗された文化が東北で存続し、繁栄したのでしょうか。複数の理由がありますが、それらには例えば、自然湧出する温泉の数が限られていたこと（つまり男女で同じ風呂を使った方が資源を有効利用できる）や、気取らない農民の家族が毎年同じ温泉に訪れたり、性別を問わず健康なものが病気の家族の入浴を介助していたりといった社会的な文脈が挙げられます。しかし、やはり最大の理由はこの地域がきわめて辺鄙な場所だったことでしょう。第二次世界大戦後まで、地域外から十和田八幡平、特に八幡平地域に訪れるのは容易ではなく、多くの温泉地へのアクセスは徒歩か馬に限られていました。最初に道路が整備されたのは</w:t>
      </w:r>
      <w:r w:rsidRPr="00D63CA9">
        <w:rPr>
          <w:rFonts w:ascii="Times New Roman" w:eastAsia="Meiryo UI" w:hAnsi="Times New Roman" w:cstheme="minorHAnsi"/>
          <w:sz w:val="22"/>
        </w:rPr>
        <w:t>1960</w:t>
      </w:r>
      <w:r w:rsidRPr="00D63CA9">
        <w:rPr>
          <w:rFonts w:ascii="Times New Roman" w:eastAsia="Meiryo UI" w:hAnsi="Times New Roman" w:cstheme="minorHAnsi"/>
          <w:sz w:val="22"/>
        </w:rPr>
        <w:t>年代で、新幹線は</w:t>
      </w:r>
      <w:r w:rsidRPr="00D63CA9">
        <w:rPr>
          <w:rFonts w:ascii="Times New Roman" w:eastAsia="Meiryo UI" w:hAnsi="Times New Roman" w:cstheme="minorHAnsi"/>
          <w:sz w:val="22"/>
        </w:rPr>
        <w:t>1982</w:t>
      </w:r>
      <w:r w:rsidRPr="00D63CA9">
        <w:rPr>
          <w:rFonts w:ascii="Times New Roman" w:eastAsia="Meiryo UI" w:hAnsi="Times New Roman" w:cstheme="minorHAnsi"/>
          <w:sz w:val="22"/>
        </w:rPr>
        <w:t>年にようやく盛岡市の近くまで開通しました。</w:t>
      </w:r>
    </w:p>
    <w:p w:rsidR="00A8295E" w:rsidRPr="00D63CA9" w:rsidRDefault="00A8295E" w:rsidP="00A8295E">
      <w:pPr>
        <w:autoSpaceDE w:val="0"/>
        <w:autoSpaceDN w:val="0"/>
        <w:adjustRightInd w:val="0"/>
        <w:spacing w:line="276" w:lineRule="auto"/>
        <w:rPr>
          <w:rFonts w:ascii="Times New Roman" w:hAnsi="Times New Roman" w:cs="AppleSystemUIFont"/>
          <w:color w:val="000000" w:themeColor="text1"/>
          <w:sz w:val="26"/>
          <w:szCs w:val="26"/>
        </w:rPr>
      </w:pPr>
    </w:p>
    <w:p w:rsidR="00A8295E" w:rsidRPr="00D63CA9" w:rsidRDefault="00A8295E" w:rsidP="00A8295E">
      <w:pPr>
        <w:autoSpaceDE w:val="0"/>
        <w:autoSpaceDN w:val="0"/>
        <w:adjustRightInd w:val="0"/>
        <w:spacing w:line="276" w:lineRule="auto"/>
        <w:rPr>
          <w:rFonts w:ascii="Times New Roman" w:hAnsi="Times New Roman" w:cstheme="minorHAnsi"/>
          <w:color w:val="000000" w:themeColor="text1"/>
        </w:rPr>
      </w:pPr>
      <w:r w:rsidRPr="00D63CA9">
        <w:rPr>
          <w:rFonts w:ascii="Times New Roman" w:hAnsi="Times New Roman" w:cstheme="minorHAnsi"/>
          <w:color w:val="000000" w:themeColor="text1"/>
        </w:rPr>
        <w:t>_______________________</w:t>
      </w:r>
    </w:p>
    <w:p w:rsidR="00A8295E" w:rsidRPr="00D63CA9" w:rsidRDefault="00A8295E" w:rsidP="00A8295E">
      <w:pPr>
        <w:spacing w:line="276" w:lineRule="auto"/>
        <w:rPr>
          <w:rFonts w:ascii="Times New Roman" w:eastAsia="Meiryo UI" w:hAnsi="Times New Roman" w:cs="Calibri"/>
          <w:color w:val="000000"/>
          <w:sz w:val="22"/>
          <w:lang w:val="en-GB"/>
        </w:rPr>
      </w:pPr>
      <w:r w:rsidRPr="00D63CA9">
        <w:rPr>
          <w:rFonts w:ascii="Times New Roman" w:eastAsia="Meiryo UI" w:hAnsi="Times New Roman" w:cs="Calibri"/>
          <w:sz w:val="22"/>
        </w:rPr>
        <w:t xml:space="preserve">[1] </w:t>
      </w:r>
      <w:r w:rsidRPr="00D63CA9">
        <w:rPr>
          <w:rFonts w:ascii="Times New Roman" w:eastAsia="Meiryo UI" w:hAnsi="Times New Roman" w:cs="Calibri"/>
          <w:color w:val="FF0000"/>
          <w:sz w:val="22"/>
        </w:rPr>
        <w:t>Francis L. Hawks,</w:t>
      </w:r>
      <w:r w:rsidRPr="00D63CA9">
        <w:rPr>
          <w:rFonts w:ascii="Times New Roman" w:eastAsia="Meiryo UI" w:hAnsi="Times New Roman" w:cs="Calibri"/>
          <w:i/>
          <w:iCs/>
          <w:color w:val="FF0000"/>
          <w:sz w:val="22"/>
        </w:rPr>
        <w:t xml:space="preserve"> </w:t>
      </w:r>
      <w:r w:rsidRPr="00D63CA9">
        <w:rPr>
          <w:rFonts w:ascii="Times New Roman" w:eastAsia="Meiryo UI" w:hAnsi="Times New Roman" w:cs="Calibri"/>
          <w:i/>
          <w:iCs/>
          <w:color w:val="FF0000"/>
          <w:sz w:val="22"/>
          <w:lang w:val="en-GB"/>
        </w:rPr>
        <w:t>Narrative of the Expedition of an American Squadron to the China Seas and Japan, Performed in the Years 1852, 1853, and 1854 under the Command of Commodore M.C. Perry, United States Navy</w:t>
      </w:r>
      <w:r w:rsidRPr="00D63CA9">
        <w:rPr>
          <w:rFonts w:ascii="Times New Roman" w:eastAsia="Meiryo UI" w:hAnsi="Times New Roman" w:cs="Calibri"/>
          <w:color w:val="FF0000"/>
          <w:sz w:val="22"/>
          <w:lang w:val="en-GB"/>
        </w:rPr>
        <w:t>. New York: D. Appleton and Co., 1856</w:t>
      </w:r>
      <w:r w:rsidRPr="00D63CA9">
        <w:rPr>
          <w:rFonts w:ascii="Times New Roman" w:eastAsia="Meiryo UI" w:hAnsi="Times New Roman" w:cs="Calibri"/>
          <w:color w:val="000000"/>
          <w:sz w:val="22"/>
          <w:lang w:val="en-GB"/>
        </w:rPr>
        <w:t>)</w:t>
      </w:r>
    </w:p>
    <w:p w:rsidR="00A8295E" w:rsidRPr="00D63CA9" w:rsidRDefault="00A8295E" w:rsidP="00A8295E">
      <w:pPr>
        <w:spacing w:line="276" w:lineRule="auto"/>
        <w:rPr>
          <w:rFonts w:ascii="Times New Roman" w:eastAsia="Meiryo UI" w:hAnsi="Times New Roman" w:cs="Calibri"/>
          <w:color w:val="000000"/>
          <w:sz w:val="22"/>
          <w:lang w:val="en-GB"/>
        </w:rPr>
      </w:pPr>
    </w:p>
    <w:p w:rsidR="00A8295E" w:rsidRPr="00D63CA9" w:rsidRDefault="00A8295E" w:rsidP="00A8295E">
      <w:pPr>
        <w:spacing w:line="276" w:lineRule="auto"/>
        <w:rPr>
          <w:rFonts w:ascii="Times New Roman" w:eastAsia="Meiryo UI" w:hAnsi="Times New Roman"/>
          <w:sz w:val="22"/>
        </w:rPr>
      </w:pPr>
      <w:r w:rsidRPr="00D63CA9">
        <w:rPr>
          <w:rFonts w:ascii="Times New Roman" w:eastAsia="Meiryo UI" w:hAnsi="Times New Roman" w:hint="eastAsia"/>
          <w:sz w:val="22"/>
        </w:rPr>
        <w:t>[</w:t>
      </w:r>
      <w:r w:rsidRPr="00D63CA9">
        <w:rPr>
          <w:rFonts w:ascii="Times New Roman" w:eastAsia="Meiryo UI" w:hAnsi="Times New Roman"/>
          <w:sz w:val="22"/>
        </w:rPr>
        <w:t>2</w:t>
      </w:r>
      <w:r w:rsidRPr="00D63CA9">
        <w:rPr>
          <w:rFonts w:ascii="Times New Roman" w:eastAsia="Meiryo UI" w:hAnsi="Times New Roman" w:cs="Calibri"/>
          <w:color w:val="FF0000"/>
          <w:sz w:val="22"/>
        </w:rPr>
        <w:t xml:space="preserve"> Edward Barrington de Fonblanque, </w:t>
      </w:r>
      <w:r w:rsidRPr="00D63CA9">
        <w:rPr>
          <w:rFonts w:ascii="Times New Roman" w:eastAsia="Meiryo UI" w:hAnsi="Times New Roman" w:cs="Calibri"/>
          <w:i/>
          <w:iCs/>
          <w:color w:val="FF0000"/>
          <w:sz w:val="22"/>
          <w:lang w:val="en-GB"/>
        </w:rPr>
        <w:t>Niphon and Pe-che-li; or, Two Years in Japan and Northern China</w:t>
      </w:r>
      <w:r w:rsidRPr="00D63CA9">
        <w:rPr>
          <w:rFonts w:ascii="Times New Roman" w:eastAsia="Meiryo UI" w:hAnsi="Times New Roman" w:cs="Calibri"/>
          <w:color w:val="FF0000"/>
          <w:sz w:val="22"/>
          <w:lang w:val="en-GB"/>
        </w:rPr>
        <w:t>. London: Saunders, Otley and Co., 1863</w:t>
      </w:r>
      <w:r w:rsidRPr="00D63CA9">
        <w:rPr>
          <w:rFonts w:ascii="Times New Roman" w:eastAsia="Meiryo UI" w:hAnsi="Times New Roman"/>
          <w:sz w:val="22"/>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5E"/>
    <w:rsid w:val="00346BD8"/>
    <w:rsid w:val="00562B2A"/>
    <w:rsid w:val="00A8295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9154EE-5D1D-4E49-A710-D98F6F5A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29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829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8295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829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829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829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829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829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829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29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829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829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829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829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829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829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829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829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829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82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9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82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95E"/>
    <w:pPr>
      <w:spacing w:before="160" w:after="160"/>
      <w:jc w:val="center"/>
    </w:pPr>
    <w:rPr>
      <w:i/>
      <w:iCs/>
      <w:color w:val="404040" w:themeColor="text1" w:themeTint="BF"/>
    </w:rPr>
  </w:style>
  <w:style w:type="character" w:customStyle="1" w:styleId="a8">
    <w:name w:val="引用文 (文字)"/>
    <w:basedOn w:val="a0"/>
    <w:link w:val="a7"/>
    <w:uiPriority w:val="29"/>
    <w:rsid w:val="00A8295E"/>
    <w:rPr>
      <w:i/>
      <w:iCs/>
      <w:color w:val="404040" w:themeColor="text1" w:themeTint="BF"/>
    </w:rPr>
  </w:style>
  <w:style w:type="paragraph" w:styleId="a9">
    <w:name w:val="List Paragraph"/>
    <w:basedOn w:val="a"/>
    <w:uiPriority w:val="34"/>
    <w:qFormat/>
    <w:rsid w:val="00A8295E"/>
    <w:pPr>
      <w:ind w:left="720"/>
      <w:contextualSpacing/>
    </w:pPr>
  </w:style>
  <w:style w:type="character" w:styleId="21">
    <w:name w:val="Intense Emphasis"/>
    <w:basedOn w:val="a0"/>
    <w:uiPriority w:val="21"/>
    <w:qFormat/>
    <w:rsid w:val="00A8295E"/>
    <w:rPr>
      <w:i/>
      <w:iCs/>
      <w:color w:val="0F4761" w:themeColor="accent1" w:themeShade="BF"/>
    </w:rPr>
  </w:style>
  <w:style w:type="paragraph" w:styleId="22">
    <w:name w:val="Intense Quote"/>
    <w:basedOn w:val="a"/>
    <w:next w:val="a"/>
    <w:link w:val="23"/>
    <w:uiPriority w:val="30"/>
    <w:qFormat/>
    <w:rsid w:val="00A82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8295E"/>
    <w:rPr>
      <w:i/>
      <w:iCs/>
      <w:color w:val="0F4761" w:themeColor="accent1" w:themeShade="BF"/>
    </w:rPr>
  </w:style>
  <w:style w:type="character" w:styleId="24">
    <w:name w:val="Intense Reference"/>
    <w:basedOn w:val="a0"/>
    <w:uiPriority w:val="32"/>
    <w:qFormat/>
    <w:rsid w:val="00A829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