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55369" w:rsidRPr="006C7BCD" w:rsidRDefault="00755369" w:rsidP="00755369">
      <w:pPr>
        <w:tabs>
          <w:tab w:val="left" w:pos="936"/>
        </w:tabs>
        <w:spacing w:line="0" w:lineRule="atLeast"/>
        <w:rPr>
          <w:rFonts w:ascii="Meiryo UI" w:eastAsia="Meiryo UI" w:hAnsi="Meiryo UI" w:cs="ＭＳ ゴシック"/>
          <w:b/>
          <w:bCs/>
          <w:color w:val="000000" w:themeColor="text1"/>
          <w:sz w:val="22"/>
        </w:rPr>
      </w:pPr>
      <w:r w:rsidRPr="006C7BCD">
        <w:rPr>
          <w:rFonts w:ascii="Meiryo UI" w:eastAsia="Meiryo UI" w:hAnsi="Meiryo UI" w:cs="ＭＳ ゴシック"/>
          <w:b/>
          <w:bCs/>
          <w:color w:val="000000" w:themeColor="text1"/>
          <w:sz w:val="22"/>
        </w:rPr>
        <w:t>東の追分</w:t>
      </w:r>
      <w:r w:rsidRPr="006C7BCD">
        <w:rPr>
          <w:rFonts w:ascii="Meiryo UI" w:eastAsia="Meiryo UI" w:hAnsi="Meiryo UI" w:cs="ＭＳ ゴシック" w:hint="eastAsia"/>
          <w:b/>
          <w:bCs/>
          <w:color w:val="000000" w:themeColor="text1"/>
          <w:sz w:val="22"/>
        </w:rPr>
        <w:t>：</w:t>
      </w:r>
      <w:r w:rsidRPr="006C7BCD">
        <w:rPr>
          <w:rFonts w:ascii="Meiryo UI" w:eastAsia="Meiryo UI" w:hAnsi="Meiryo UI" w:cs="ＭＳ ゴシック"/>
          <w:b/>
          <w:bCs/>
          <w:color w:val="000000" w:themeColor="text1"/>
          <w:sz w:val="22"/>
        </w:rPr>
        <w:t>The East Fork</w:t>
      </w:r>
    </w:p>
    <w:p w:rsidR="00755369" w:rsidRPr="006C7BCD" w:rsidRDefault="00755369" w:rsidP="00755369">
      <w:pPr>
        <w:tabs>
          <w:tab w:val="left" w:pos="936"/>
        </w:tabs>
        <w:spacing w:line="0" w:lineRule="atLeast"/>
        <w:rPr>
          <w:rFonts w:ascii="Meiryo UI" w:eastAsia="Meiryo UI" w:hAnsi="Meiryo UI" w:cs="ＭＳ ゴシック"/>
          <w:color w:val="000000" w:themeColor="text1"/>
          <w:sz w:val="22"/>
        </w:rPr>
      </w:pPr>
      <w:r/>
    </w:p>
    <w:p w:rsidR="00755369" w:rsidRPr="006C7BCD" w:rsidRDefault="00755369" w:rsidP="00755369">
      <w:pPr>
        <w:tabs>
          <w:tab w:val="left" w:pos="936"/>
        </w:tabs>
        <w:spacing w:line="0" w:lineRule="atLeast"/>
        <w:rPr>
          <w:rFonts w:ascii="Meiryo UI" w:eastAsia="Meiryo UI" w:hAnsi="Meiryo UI" w:cs="ＭＳ ゴシック"/>
          <w:color w:val="000000" w:themeColor="text1"/>
          <w:sz w:val="22"/>
        </w:rPr>
      </w:pPr>
      <w:r w:rsidRPr="006C7BCD">
        <w:rPr>
          <w:rFonts w:ascii="Meiryo UI" w:eastAsia="Meiryo UI" w:hAnsi="Meiryo UI" w:cs="ＭＳ ゴシック" w:hint="eastAsia"/>
          <w:color w:val="000000" w:themeColor="text1"/>
          <w:sz w:val="22"/>
        </w:rPr>
        <w:t>関宿は、江戸と京都を結ぶ東海道における公認の宿場のひとつとして栄えるより約千年も前の8世紀には、すでに交通の要衝となっていました。また、この町は京都・江戸と、最も古く格の高い霊場である伊勢神宮のある伊勢とをつないでいました。</w:t>
      </w:r>
    </w:p>
    <w:p w:rsidR="00755369" w:rsidRPr="006C7BCD" w:rsidRDefault="00755369" w:rsidP="00755369">
      <w:pPr>
        <w:tabs>
          <w:tab w:val="left" w:pos="936"/>
        </w:tabs>
        <w:spacing w:line="0" w:lineRule="atLeast"/>
        <w:rPr>
          <w:rFonts w:ascii="Meiryo UI" w:eastAsia="Meiryo UI" w:hAnsi="Meiryo UI" w:cs="ＭＳ ゴシック"/>
          <w:color w:val="000000" w:themeColor="text1"/>
          <w:sz w:val="22"/>
        </w:rPr>
      </w:pPr>
    </w:p>
    <w:p w:rsidR="00755369" w:rsidRPr="006C7BCD" w:rsidRDefault="00755369" w:rsidP="00755369">
      <w:pPr>
        <w:tabs>
          <w:tab w:val="left" w:pos="936"/>
        </w:tabs>
        <w:spacing w:line="0" w:lineRule="atLeast"/>
        <w:rPr>
          <w:rFonts w:ascii="Meiryo UI" w:eastAsia="Meiryo UI" w:hAnsi="Meiryo UI" w:cs="ＭＳ ゴシック"/>
          <w:color w:val="000000" w:themeColor="text1"/>
          <w:sz w:val="22"/>
        </w:rPr>
      </w:pPr>
      <w:r w:rsidRPr="006C7BCD">
        <w:rPr>
          <w:rFonts w:ascii="Meiryo UI" w:eastAsia="Meiryo UI" w:hAnsi="Meiryo UI" w:cs="ＭＳ ゴシック" w:hint="eastAsia"/>
          <w:color w:val="000000" w:themeColor="text1"/>
          <w:sz w:val="22"/>
        </w:rPr>
        <w:t>伊勢へと向かう巡礼者たちは、町の大通りの東端にある分岐点「東の追分」まで行かなくてはなりませんでした。そこから、おそらく2、3日かけ、伊勢別街道を南に向かって60km歩きました。現在は、伊勢神宮から寄贈された木造の鳥居が伊勢へと向かう道の入り口にまたがっています。伊勢神宮の神殿は、</w:t>
      </w:r>
      <w:r w:rsidRPr="006C7BCD">
        <w:rPr>
          <w:rFonts w:ascii="Meiryo UI" w:eastAsia="Meiryo UI" w:hAnsi="Meiryo UI" w:cs="ＭＳ ゴシック"/>
          <w:color w:val="000000" w:themeColor="text1"/>
          <w:sz w:val="22"/>
        </w:rPr>
        <w:t>1</w:t>
      </w:r>
      <w:r w:rsidRPr="006C7BCD">
        <w:rPr>
          <w:rFonts w:ascii="Meiryo UI" w:eastAsia="Meiryo UI" w:hAnsi="Meiryo UI" w:cs="ＭＳ ゴシック" w:hint="eastAsia"/>
          <w:color w:val="000000" w:themeColor="text1"/>
          <w:sz w:val="22"/>
        </w:rPr>
        <w:t>690年以来20年周期で建て替えられており（この慣習自体はさらに</w:t>
      </w:r>
      <w:r w:rsidRPr="006C7BCD">
        <w:rPr>
          <w:rFonts w:ascii="Meiryo UI" w:eastAsia="Meiryo UI" w:hAnsi="Meiryo UI" w:cs="ＭＳ ゴシック"/>
          <w:color w:val="000000" w:themeColor="text1"/>
          <w:sz w:val="22"/>
        </w:rPr>
        <w:t>1000</w:t>
      </w:r>
      <w:r w:rsidRPr="006C7BCD">
        <w:rPr>
          <w:rFonts w:ascii="Meiryo UI" w:eastAsia="Meiryo UI" w:hAnsi="Meiryo UI" w:cs="ＭＳ ゴシック" w:hint="eastAsia"/>
          <w:color w:val="000000" w:themeColor="text1"/>
          <w:sz w:val="22"/>
        </w:rPr>
        <w:t>年前から続いています）、この鳥居は</w:t>
      </w:r>
      <w:r w:rsidRPr="006C7BCD">
        <w:rPr>
          <w:rFonts w:ascii="Meiryo UI" w:eastAsia="Meiryo UI" w:hAnsi="Meiryo UI" w:cs="ＭＳ ゴシック"/>
          <w:color w:val="000000" w:themeColor="text1"/>
          <w:sz w:val="22"/>
        </w:rPr>
        <w:t>2013</w:t>
      </w:r>
      <w:r w:rsidRPr="006C7BCD">
        <w:rPr>
          <w:rFonts w:ascii="Meiryo UI" w:eastAsia="Meiryo UI" w:hAnsi="Meiryo UI" w:cs="ＭＳ ゴシック" w:hint="eastAsia"/>
          <w:color w:val="000000" w:themeColor="text1"/>
          <w:sz w:val="22"/>
        </w:rPr>
        <w:t>年の建替えの際に関宿に下賜されたものです。通常、取り壊された神殿の建築資材は伊勢神宮の他の123社で使われるため、関宿が千年以上にわたって神宮への巡礼者に寝食の場を提供してきた町の役目を認められ、この鳥居を賜ったのは、大変名誉なことでした。</w:t>
      </w:r>
    </w:p>
    <w:p w:rsidR="00755369" w:rsidRPr="006C7BCD" w:rsidRDefault="00755369" w:rsidP="00755369">
      <w:pPr>
        <w:tabs>
          <w:tab w:val="left" w:pos="936"/>
        </w:tabs>
        <w:spacing w:line="0" w:lineRule="atLeast"/>
        <w:rPr>
          <w:rFonts w:ascii="Meiryo UI" w:eastAsia="Meiryo UI" w:hAnsi="Meiryo UI" w:cs="ＭＳ ゴシック"/>
          <w:color w:val="000000" w:themeColor="text1"/>
          <w:sz w:val="22"/>
        </w:rPr>
      </w:pPr>
    </w:p>
    <w:p w:rsidR="00755369" w:rsidRPr="006C7BCD" w:rsidRDefault="00755369" w:rsidP="00755369">
      <w:pPr>
        <w:tabs>
          <w:tab w:val="left" w:pos="936"/>
        </w:tabs>
        <w:spacing w:line="0" w:lineRule="atLeast"/>
        <w:rPr>
          <w:rFonts w:ascii="Meiryo UI" w:eastAsia="Meiryo UI" w:hAnsi="Meiryo UI" w:cs="ＭＳ ゴシック"/>
          <w:color w:val="000000" w:themeColor="text1"/>
          <w:sz w:val="22"/>
        </w:rPr>
      </w:pPr>
      <w:r w:rsidRPr="006C7BCD">
        <w:rPr>
          <w:rFonts w:ascii="Meiryo UI" w:eastAsia="Meiryo UI" w:hAnsi="Meiryo UI" w:cs="ＭＳ ゴシック" w:hint="eastAsia"/>
          <w:color w:val="000000" w:themeColor="text1"/>
          <w:sz w:val="22"/>
        </w:rPr>
        <w:t>江戸時代（</w:t>
      </w:r>
      <w:r w:rsidRPr="006C7BCD">
        <w:rPr>
          <w:rFonts w:ascii="Meiryo UI" w:eastAsia="Meiryo UI" w:hAnsi="Meiryo UI" w:cs="ＭＳ ゴシック"/>
          <w:color w:val="000000" w:themeColor="text1"/>
          <w:sz w:val="22"/>
        </w:rPr>
        <w:t>1603-1867</w:t>
      </w:r>
      <w:r w:rsidRPr="006C7BCD">
        <w:rPr>
          <w:rFonts w:ascii="Meiryo UI" w:eastAsia="Meiryo UI" w:hAnsi="Meiryo UI" w:cs="ＭＳ ゴシック" w:hint="eastAsia"/>
          <w:color w:val="000000" w:themeColor="text1"/>
          <w:sz w:val="22"/>
        </w:rPr>
        <w:t>）、宗教的な場所への巡礼は、徳川幕府によって禁止されていなかった数少ない旅行形態のひとつでした。専門家によると、伊勢には年間数十万人以上の参拝客が訪れ、「御蔭年（</w:t>
      </w:r>
      <w:r w:rsidRPr="006C7BCD">
        <w:rPr>
          <w:rFonts w:ascii="Meiryo UI" w:eastAsia="Meiryo UI" w:hAnsi="Meiryo UI" w:cs="ＭＳ ゴシック"/>
          <w:color w:val="000000" w:themeColor="text1"/>
          <w:sz w:val="22"/>
        </w:rPr>
        <w:t>lucky year</w:t>
      </w:r>
      <w:r w:rsidRPr="006C7BCD">
        <w:rPr>
          <w:rFonts w:ascii="Meiryo UI" w:eastAsia="Meiryo UI" w:hAnsi="Meiryo UI" w:cs="ＭＳ ゴシック" w:hint="eastAsia"/>
          <w:color w:val="000000" w:themeColor="text1"/>
          <w:sz w:val="22"/>
        </w:rPr>
        <w:t>）」にはその数はさらに数倍にもなったそうです。御蔭年にあたる</w:t>
      </w:r>
      <w:r w:rsidRPr="006C7BCD">
        <w:rPr>
          <w:rFonts w:ascii="Meiryo UI" w:eastAsia="Meiryo UI" w:hAnsi="Meiryo UI" w:cs="ＭＳ ゴシック"/>
          <w:color w:val="000000" w:themeColor="text1"/>
          <w:sz w:val="22"/>
        </w:rPr>
        <w:t>1830</w:t>
      </w:r>
      <w:r w:rsidRPr="006C7BCD">
        <w:rPr>
          <w:rFonts w:ascii="Meiryo UI" w:eastAsia="Meiryo UI" w:hAnsi="Meiryo UI" w:cs="ＭＳ ゴシック" w:hint="eastAsia"/>
          <w:color w:val="000000" w:themeColor="text1"/>
          <w:sz w:val="22"/>
        </w:rPr>
        <w:t>年には、</w:t>
      </w:r>
      <w:r w:rsidRPr="006C7BCD">
        <w:rPr>
          <w:rFonts w:ascii="Meiryo UI" w:eastAsia="Meiryo UI" w:hAnsi="Meiryo UI" w:cs="ＭＳ ゴシック"/>
          <w:color w:val="000000" w:themeColor="text1"/>
          <w:sz w:val="22"/>
        </w:rPr>
        <w:t>400</w:t>
      </w:r>
      <w:r w:rsidRPr="006C7BCD">
        <w:rPr>
          <w:rFonts w:ascii="Meiryo UI" w:eastAsia="Meiryo UI" w:hAnsi="Meiryo UI" w:cs="ＭＳ ゴシック" w:hint="eastAsia"/>
          <w:color w:val="000000" w:themeColor="text1"/>
          <w:sz w:val="22"/>
        </w:rPr>
        <w:t>〜</w:t>
      </w:r>
      <w:r w:rsidRPr="006C7BCD">
        <w:rPr>
          <w:rFonts w:ascii="Meiryo UI" w:eastAsia="Meiryo UI" w:hAnsi="Meiryo UI" w:cs="ＭＳ ゴシック"/>
          <w:color w:val="000000" w:themeColor="text1"/>
          <w:sz w:val="22"/>
        </w:rPr>
        <w:t>500</w:t>
      </w:r>
      <w:r w:rsidRPr="006C7BCD">
        <w:rPr>
          <w:rFonts w:ascii="Meiryo UI" w:eastAsia="Meiryo UI" w:hAnsi="Meiryo UI" w:cs="ＭＳ ゴシック" w:hint="eastAsia"/>
          <w:color w:val="000000" w:themeColor="text1"/>
          <w:sz w:val="22"/>
        </w:rPr>
        <w:t>万人の巡礼者が伊勢を訪れたと推定されています。その全員が関宿を通過したわけではありませんが、この数字からは、交通の要衝としての関宿の重要性がうかがえます。</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369"/>
    <w:rsid w:val="00346BD8"/>
    <w:rsid w:val="00562B2A"/>
    <w:rsid w:val="00755369"/>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B70D464-329F-4801-89C6-80E5C0456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5536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5536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55369"/>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75536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5536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5536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5536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5536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5536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5536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5536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55369"/>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75536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5536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5536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5536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5536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5536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5536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553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536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553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5369"/>
    <w:pPr>
      <w:spacing w:before="160" w:after="160"/>
      <w:jc w:val="center"/>
    </w:pPr>
    <w:rPr>
      <w:i/>
      <w:iCs/>
      <w:color w:val="404040" w:themeColor="text1" w:themeTint="BF"/>
    </w:rPr>
  </w:style>
  <w:style w:type="character" w:customStyle="1" w:styleId="a8">
    <w:name w:val="引用文 (文字)"/>
    <w:basedOn w:val="a0"/>
    <w:link w:val="a7"/>
    <w:uiPriority w:val="29"/>
    <w:rsid w:val="00755369"/>
    <w:rPr>
      <w:i/>
      <w:iCs/>
      <w:color w:val="404040" w:themeColor="text1" w:themeTint="BF"/>
    </w:rPr>
  </w:style>
  <w:style w:type="paragraph" w:styleId="a9">
    <w:name w:val="List Paragraph"/>
    <w:basedOn w:val="a"/>
    <w:uiPriority w:val="34"/>
    <w:qFormat/>
    <w:rsid w:val="00755369"/>
    <w:pPr>
      <w:ind w:left="720"/>
      <w:contextualSpacing/>
    </w:pPr>
  </w:style>
  <w:style w:type="character" w:styleId="21">
    <w:name w:val="Intense Emphasis"/>
    <w:basedOn w:val="a0"/>
    <w:uiPriority w:val="21"/>
    <w:qFormat/>
    <w:rsid w:val="00755369"/>
    <w:rPr>
      <w:i/>
      <w:iCs/>
      <w:color w:val="0F4761" w:themeColor="accent1" w:themeShade="BF"/>
    </w:rPr>
  </w:style>
  <w:style w:type="paragraph" w:styleId="22">
    <w:name w:val="Intense Quote"/>
    <w:basedOn w:val="a"/>
    <w:next w:val="a"/>
    <w:link w:val="23"/>
    <w:uiPriority w:val="30"/>
    <w:qFormat/>
    <w:rsid w:val="007553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55369"/>
    <w:rPr>
      <w:i/>
      <w:iCs/>
      <w:color w:val="0F4761" w:themeColor="accent1" w:themeShade="BF"/>
    </w:rPr>
  </w:style>
  <w:style w:type="character" w:styleId="24">
    <w:name w:val="Intense Reference"/>
    <w:basedOn w:val="a0"/>
    <w:uiPriority w:val="32"/>
    <w:qFormat/>
    <w:rsid w:val="0075536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603</Characters>
  <Application>Microsoft Office Word</Application>
  <DocSecurity>0</DocSecurity>
  <Lines>5</Lines>
  <Paragraphs>1</Paragraphs>
  <ScaleCrop>false</ScaleCrop>
  <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2024-07-05T15:49:00Z</dcterms:created>
  <dcterms:modified xsi:type="dcterms:W3CDTF">2024-07-05T15:49:00Z</dcterms:modified>
</cp:coreProperties>
</file>