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6499" w:rsidRPr="008837A7" w:rsidRDefault="003F6499" w:rsidP="003F6499">
      <w:pPr>
        <w:rPr>
          <w:rFonts w:ascii="Times New Roman" w:hAnsi="Times New Roman"/>
          <w:kern w:val="0"/>
          <w14:ligatures w14:val="none"/>
        </w:rPr>
      </w:pPr>
      <w:r w:rsidRPr="008837A7">
        <w:rPr>
          <w:rFonts w:ascii="Times New Roman" w:hAnsi="Times New Roman"/>
          <w:b/>
          <w:kern w:val="0"/>
          <w14:ligatures w14:val="none"/>
        </w:rPr>
        <w:t>Fire Prevention</w:t>
      </w:r>
      <w:r w:rsidRPr="008837A7">
        <w:rPr>
          <w:rFonts w:ascii="Times New Roman" w:eastAsia="Times New Roman" w:hAnsi="Times New Roman" w:cs="Times New Roman"/>
          <w:b/>
          <w:bCs/>
          <w:kern w:val="0"/>
          <w14:ligatures w14:val="none"/>
        </w:rPr>
        <w:t>:</w:t>
      </w:r>
      <w:r w:rsidRPr="008837A7">
        <w:rPr>
          <w:rFonts w:ascii="Times New Roman" w:hAnsi="Times New Roman"/>
          <w:b/>
          <w:kern w:val="0"/>
          <w14:ligatures w14:val="none"/>
        </w:rPr>
        <w:t xml:space="preserve"> Then and Now</w:t>
      </w:r>
    </w:p>
    <w:p w:rsidR="003F6499" w:rsidRPr="008837A7" w:rsidRDefault="003F6499" w:rsidP="003F6499">
      <w:pPr>
        <w:rPr>
          <w:rFonts w:ascii="Times New Roman" w:eastAsia="Times New Roman" w:hAnsi="Times New Roman" w:cs="Times New Roman"/>
          <w:kern w:val="0"/>
          <w14:ligatures w14:val="none"/>
        </w:rPr>
      </w:pPr>
      <w:r/>
    </w:p>
    <w:p w:rsidR="003F6499" w:rsidRPr="008837A7" w:rsidRDefault="003F6499" w:rsidP="003F6499">
      <w:pPr>
        <w:rPr>
          <w:rFonts w:ascii="Times New Roman" w:eastAsia="Times New Roman" w:hAnsi="Times New Roman" w:cs="Times New Roman"/>
          <w:kern w:val="0"/>
          <w14:ligatures w14:val="none"/>
        </w:rPr>
      </w:pPr>
      <w:r w:rsidRPr="008837A7">
        <w:rPr>
          <w:rFonts w:ascii="Times New Roman" w:eastAsia="Times New Roman" w:hAnsi="Times New Roman" w:cs="Times New Roman"/>
          <w:kern w:val="0"/>
          <w14:ligatures w14:val="none"/>
        </w:rPr>
        <w:t xml:space="preserve">Although </w:t>
      </w:r>
      <w:r w:rsidRPr="008837A7">
        <w:rPr>
          <w:rFonts w:ascii="Times New Roman" w:eastAsia="Times New Roman" w:hAnsi="Times New Roman" w:cs="Times New Roman"/>
          <w:i/>
          <w:iCs/>
          <w:kern w:val="0"/>
          <w14:ligatures w14:val="none"/>
        </w:rPr>
        <w:t>gasshō</w:t>
      </w:r>
      <w:r w:rsidRPr="008837A7">
        <w:rPr>
          <w:rFonts w:ascii="Times New Roman" w:hAnsi="Times New Roman"/>
          <w:kern w:val="0"/>
          <w14:ligatures w14:val="none"/>
        </w:rPr>
        <w:t>-</w:t>
      </w:r>
      <w:r w:rsidRPr="008837A7">
        <w:rPr>
          <w:rFonts w:ascii="Times New Roman" w:eastAsia="Times New Roman" w:hAnsi="Times New Roman" w:cs="Times New Roman"/>
          <w:kern w:val="0"/>
          <w14:ligatures w14:val="none"/>
        </w:rPr>
        <w:t>style houses were ideal for the residents of Shirakawa-gō in many respects, their wooden construction and grass-thatched roofs were (and are) very susceptible to fire. Open-air hearths within the homes were traditionally used for cooking and heating, and stray embers could easily spark flames in the attic or other parts of the house.</w:t>
      </w:r>
    </w:p>
    <w:p w:rsidR="003F6499" w:rsidRPr="008837A7" w:rsidRDefault="003F6499" w:rsidP="003F6499">
      <w:pPr>
        <w:rPr>
          <w:rFonts w:ascii="Times New Roman" w:hAnsi="Times New Roman"/>
          <w:kern w:val="0"/>
          <w14:ligatures w14:val="none"/>
        </w:rPr>
      </w:pPr>
    </w:p>
    <w:p w:rsidR="003F6499" w:rsidRPr="008837A7" w:rsidRDefault="003F6499" w:rsidP="003F6499">
      <w:pPr>
        <w:rPr>
          <w:rFonts w:ascii="Times New Roman" w:eastAsia="Times New Roman" w:hAnsi="Times New Roman" w:cs="Times New Roman"/>
          <w:kern w:val="0"/>
          <w14:ligatures w14:val="none"/>
        </w:rPr>
      </w:pPr>
      <w:r w:rsidRPr="008837A7">
        <w:rPr>
          <w:rFonts w:ascii="Times New Roman" w:eastAsia="Times New Roman" w:hAnsi="Times New Roman" w:cs="Times New Roman"/>
          <w:kern w:val="0"/>
          <w14:ligatures w14:val="none"/>
        </w:rPr>
        <w:t>Historically, the focus was as much on containing fires as on preventing them.</w:t>
      </w:r>
      <w:r w:rsidRPr="008837A7">
        <w:rPr>
          <w:rFonts w:ascii="Times New Roman" w:hAnsi="Times New Roman" w:cs="Times New Roman" w:hint="eastAsia"/>
          <w:kern w:val="0"/>
          <w14:ligatures w14:val="none"/>
        </w:rPr>
        <w:t xml:space="preserve"> </w:t>
      </w:r>
      <w:r w:rsidRPr="008837A7">
        <w:rPr>
          <w:rFonts w:ascii="Times New Roman" w:eastAsia="Times New Roman" w:hAnsi="Times New Roman" w:cs="Times New Roman"/>
          <w:kern w:val="0"/>
          <w14:ligatures w14:val="none"/>
        </w:rPr>
        <w:t>For example, houses were built with adequate space between them so that fires did not jump from one house to the next. Considerable space was also maintained between the houses and their associated storehouses.</w:t>
      </w:r>
    </w:p>
    <w:p w:rsidR="003F6499" w:rsidRPr="008837A7" w:rsidRDefault="003F6499" w:rsidP="003F6499">
      <w:pPr>
        <w:rPr>
          <w:rFonts w:ascii="Times New Roman" w:eastAsia="Times New Roman" w:hAnsi="Times New Roman" w:cs="Times New Roman"/>
          <w:kern w:val="0"/>
          <w14:ligatures w14:val="none"/>
        </w:rPr>
      </w:pPr>
    </w:p>
    <w:p w:rsidR="003F6499" w:rsidRPr="008837A7" w:rsidRDefault="003F6499" w:rsidP="003F6499">
      <w:pPr>
        <w:rPr>
          <w:rFonts w:ascii="Times New Roman" w:eastAsia="Times New Roman" w:hAnsi="Times New Roman" w:cs="Times New Roman"/>
          <w:kern w:val="0"/>
          <w14:ligatures w14:val="none"/>
        </w:rPr>
      </w:pPr>
      <w:r w:rsidRPr="008837A7">
        <w:rPr>
          <w:rFonts w:ascii="Times New Roman" w:eastAsia="Times New Roman" w:hAnsi="Times New Roman" w:cs="Times New Roman"/>
          <w:kern w:val="0"/>
          <w14:ligatures w14:val="none"/>
        </w:rPr>
        <w:t>Today, Shirakawa-gō and the Gasshozukuri Minkaen Open-Air Museum have adopted strict fire-prevention measures. Smoking is prohibited except in designated areas, and smoke detectors are installed in all structures. In addition, there are patrols up to three times a day to check for fire hazards, and fire drills are conducted on a regular basis.</w:t>
      </w:r>
    </w:p>
    <w:p w:rsidR="003F6499" w:rsidRPr="008837A7" w:rsidRDefault="003F6499" w:rsidP="003F6499">
      <w:pPr>
        <w:rPr>
          <w:rFonts w:ascii="Times New Roman" w:eastAsia="Times New Roman" w:hAnsi="Times New Roman" w:cs="Times New Roman"/>
          <w:kern w:val="0"/>
          <w14:ligatures w14:val="none"/>
        </w:rPr>
      </w:pPr>
    </w:p>
    <w:p w:rsidR="003F6499" w:rsidRDefault="003F6499" w:rsidP="003F6499">
      <w:pPr>
        <w:rPr>
          <w:rFonts w:ascii="Times New Roman" w:hAnsi="Times New Roman" w:cs="Times New Roman"/>
          <w:kern w:val="0"/>
          <w14:ligatures w14:val="none"/>
        </w:rPr>
      </w:pPr>
      <w:r w:rsidRPr="008837A7">
        <w:rPr>
          <w:rFonts w:ascii="Times New Roman" w:hAnsi="Times New Roman"/>
          <w:kern w:val="0"/>
          <w14:ligatures w14:val="none"/>
        </w:rPr>
        <w:t xml:space="preserve">One of the more </w:t>
      </w:r>
      <w:r w:rsidRPr="008837A7">
        <w:rPr>
          <w:rFonts w:ascii="Times New Roman" w:eastAsia="Times New Roman" w:hAnsi="Times New Roman" w:cs="Times New Roman"/>
          <w:kern w:val="0"/>
          <w14:ligatures w14:val="none"/>
        </w:rPr>
        <w:t>remarkable</w:t>
      </w:r>
      <w:r w:rsidRPr="008837A7">
        <w:rPr>
          <w:rFonts w:ascii="Times New Roman" w:hAnsi="Times New Roman"/>
          <w:kern w:val="0"/>
          <w14:ligatures w14:val="none"/>
        </w:rPr>
        <w:t xml:space="preserve"> modern-day measures </w:t>
      </w:r>
      <w:r w:rsidRPr="008837A7">
        <w:rPr>
          <w:rFonts w:ascii="Times New Roman" w:eastAsia="Times New Roman" w:hAnsi="Times New Roman" w:cs="Times New Roman"/>
          <w:kern w:val="0"/>
          <w14:ligatures w14:val="none"/>
        </w:rPr>
        <w:t>is a system of</w:t>
      </w:r>
      <w:r w:rsidRPr="008837A7">
        <w:rPr>
          <w:rFonts w:ascii="Times New Roman" w:hAnsi="Times New Roman"/>
          <w:kern w:val="0"/>
          <w14:ligatures w14:val="none"/>
        </w:rPr>
        <w:t xml:space="preserve"> water cannons that </w:t>
      </w:r>
      <w:r w:rsidRPr="008837A7">
        <w:rPr>
          <w:rFonts w:ascii="Times New Roman" w:eastAsia="Times New Roman" w:hAnsi="Times New Roman" w:cs="Times New Roman"/>
          <w:kern w:val="0"/>
          <w14:ligatures w14:val="none"/>
        </w:rPr>
        <w:t xml:space="preserve">can </w:t>
      </w:r>
      <w:r w:rsidRPr="008837A7">
        <w:rPr>
          <w:rFonts w:ascii="Times New Roman" w:hAnsi="Times New Roman"/>
          <w:kern w:val="0"/>
          <w14:ligatures w14:val="none"/>
        </w:rPr>
        <w:t xml:space="preserve">spray high-powered jets </w:t>
      </w:r>
      <w:r w:rsidRPr="008837A7">
        <w:rPr>
          <w:rFonts w:ascii="Times New Roman" w:eastAsia="Times New Roman" w:hAnsi="Times New Roman" w:cs="Times New Roman"/>
          <w:kern w:val="0"/>
          <w14:ligatures w14:val="none"/>
        </w:rPr>
        <w:t xml:space="preserve">of water </w:t>
      </w:r>
      <w:r w:rsidRPr="008837A7">
        <w:rPr>
          <w:rFonts w:ascii="Times New Roman" w:hAnsi="Times New Roman"/>
          <w:kern w:val="0"/>
          <w14:ligatures w14:val="none"/>
        </w:rPr>
        <w:t xml:space="preserve">far into the air. These jets can be aimed at roofs or adjusted to form a wall of water between structures. </w:t>
      </w:r>
      <w:r w:rsidRPr="008837A7">
        <w:rPr>
          <w:rFonts w:ascii="Times New Roman" w:eastAsia="Times New Roman" w:hAnsi="Times New Roman" w:cs="Times New Roman"/>
          <w:kern w:val="0"/>
          <w14:ligatures w14:val="none"/>
        </w:rPr>
        <w:t xml:space="preserve">The museum is unable to demonstrate the cannons’ operation for visitors; however, during biannual drills, </w:t>
      </w:r>
      <w:r w:rsidRPr="008837A7">
        <w:rPr>
          <w:rFonts w:ascii="Times New Roman" w:hAnsi="Times New Roman"/>
          <w:kern w:val="0"/>
          <w14:ligatures w14:val="none"/>
        </w:rPr>
        <w:t xml:space="preserve">dozens of the </w:t>
      </w:r>
      <w:r w:rsidRPr="008837A7">
        <w:rPr>
          <w:rFonts w:ascii="Times New Roman" w:eastAsia="Times New Roman" w:hAnsi="Times New Roman" w:cs="Times New Roman"/>
          <w:kern w:val="0"/>
          <w14:ligatures w14:val="none"/>
        </w:rPr>
        <w:t xml:space="preserve">water </w:t>
      </w:r>
      <w:r w:rsidRPr="008837A7">
        <w:rPr>
          <w:rFonts w:ascii="Times New Roman" w:hAnsi="Times New Roman"/>
          <w:kern w:val="0"/>
          <w14:ligatures w14:val="none"/>
        </w:rPr>
        <w:t xml:space="preserve">cannons </w:t>
      </w:r>
      <w:r w:rsidRPr="008837A7">
        <w:rPr>
          <w:rFonts w:ascii="Times New Roman" w:eastAsia="Times New Roman" w:hAnsi="Times New Roman" w:cs="Times New Roman"/>
          <w:kern w:val="0"/>
          <w14:ligatures w14:val="none"/>
        </w:rPr>
        <w:t>are</w:t>
      </w:r>
      <w:r w:rsidRPr="008837A7">
        <w:rPr>
          <w:rFonts w:ascii="Times New Roman" w:hAnsi="Times New Roman"/>
          <w:kern w:val="0"/>
          <w14:ligatures w14:val="none"/>
        </w:rPr>
        <w:t xml:space="preserve"> fired </w:t>
      </w:r>
      <w:r w:rsidRPr="008837A7">
        <w:rPr>
          <w:rFonts w:ascii="Times New Roman" w:eastAsia="Times New Roman" w:hAnsi="Times New Roman" w:cs="Times New Roman"/>
          <w:kern w:val="0"/>
          <w14:ligatures w14:val="none"/>
        </w:rPr>
        <w:t>together in a striking scene that is pictured in posters around town.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99"/>
    <w:rsid w:val="00346BD8"/>
    <w:rsid w:val="003F6499"/>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1D20A9-4F18-477D-91C1-FE6EC11D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64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64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64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64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64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64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64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64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64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64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64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64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64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64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64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64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64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64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64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6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4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6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499"/>
    <w:pPr>
      <w:spacing w:before="160" w:after="160"/>
      <w:jc w:val="center"/>
    </w:pPr>
    <w:rPr>
      <w:i/>
      <w:iCs/>
      <w:color w:val="404040" w:themeColor="text1" w:themeTint="BF"/>
    </w:rPr>
  </w:style>
  <w:style w:type="character" w:customStyle="1" w:styleId="a8">
    <w:name w:val="引用文 (文字)"/>
    <w:basedOn w:val="a0"/>
    <w:link w:val="a7"/>
    <w:uiPriority w:val="29"/>
    <w:rsid w:val="003F6499"/>
    <w:rPr>
      <w:i/>
      <w:iCs/>
      <w:color w:val="404040" w:themeColor="text1" w:themeTint="BF"/>
    </w:rPr>
  </w:style>
  <w:style w:type="paragraph" w:styleId="a9">
    <w:name w:val="List Paragraph"/>
    <w:basedOn w:val="a"/>
    <w:uiPriority w:val="34"/>
    <w:qFormat/>
    <w:rsid w:val="003F6499"/>
    <w:pPr>
      <w:ind w:left="720"/>
      <w:contextualSpacing/>
    </w:pPr>
  </w:style>
  <w:style w:type="character" w:styleId="21">
    <w:name w:val="Intense Emphasis"/>
    <w:basedOn w:val="a0"/>
    <w:uiPriority w:val="21"/>
    <w:qFormat/>
    <w:rsid w:val="003F6499"/>
    <w:rPr>
      <w:i/>
      <w:iCs/>
      <w:color w:val="0F4761" w:themeColor="accent1" w:themeShade="BF"/>
    </w:rPr>
  </w:style>
  <w:style w:type="paragraph" w:styleId="22">
    <w:name w:val="Intense Quote"/>
    <w:basedOn w:val="a"/>
    <w:next w:val="a"/>
    <w:link w:val="23"/>
    <w:uiPriority w:val="30"/>
    <w:qFormat/>
    <w:rsid w:val="003F6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6499"/>
    <w:rPr>
      <w:i/>
      <w:iCs/>
      <w:color w:val="0F4761" w:themeColor="accent1" w:themeShade="BF"/>
    </w:rPr>
  </w:style>
  <w:style w:type="character" w:styleId="24">
    <w:name w:val="Intense Reference"/>
    <w:basedOn w:val="a0"/>
    <w:uiPriority w:val="32"/>
    <w:qFormat/>
    <w:rsid w:val="003F64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