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3759" w:rsidRPr="003D4D8E" w:rsidRDefault="00753759" w:rsidP="00753759">
      <w:pPr>
        <w:jc w:val="left"/>
        <w:rPr>
          <w:rFonts w:ascii="Times New Roman" w:hAnsi="Times New Roman"/>
          <w:b/>
          <w:sz w:val="24"/>
        </w:rPr>
      </w:pPr>
      <w:r w:rsidRPr="003D4D8E">
        <w:rPr>
          <w:rFonts w:ascii="Times New Roman" w:hAnsi="Times New Roman"/>
          <w:b/>
          <w:sz w:val="24"/>
        </w:rPr>
        <w:t>Present-Day Ironmaking at Nittōho Tatara</w:t>
      </w:r>
    </w:p>
    <w:p w:rsidR="00753759" w:rsidRPr="003D4D8E" w:rsidRDefault="00753759" w:rsidP="00753759">
      <w:pPr>
        <w:jc w:val="left"/>
        <w:rPr>
          <w:rFonts w:ascii="Times New Roman" w:hAnsi="Times New Roman"/>
          <w:sz w:val="24"/>
        </w:rPr>
      </w:pPr>
      <w:r/>
    </w:p>
    <w:p w:rsidR="00753759" w:rsidRPr="003D4D8E" w:rsidRDefault="00753759" w:rsidP="00753759">
      <w:pPr>
        <w:jc w:val="left"/>
        <w:rPr>
          <w:rFonts w:ascii="Times New Roman" w:hAnsi="Times New Roman"/>
          <w:sz w:val="24"/>
        </w:rPr>
      </w:pPr>
      <w:r w:rsidRPr="003D4D8E">
        <w:rPr>
          <w:rFonts w:ascii="Times New Roman" w:hAnsi="Times New Roman"/>
          <w:sz w:val="24"/>
        </w:rPr>
        <w:t xml:space="preserve">In 1977, Nittōho Tatara rekindled the </w:t>
      </w:r>
      <w:r>
        <w:rPr>
          <w:rFonts w:ascii="Times New Roman" w:hAnsi="Times New Roman" w:cs="Times New Roman"/>
          <w:sz w:val="24"/>
          <w:szCs w:val="24"/>
        </w:rPr>
        <w:t>fires</w:t>
      </w:r>
      <w:r w:rsidRPr="003D4D8E">
        <w:rPr>
          <w:rFonts w:ascii="Times New Roman" w:hAnsi="Times New Roman"/>
          <w:sz w:val="24"/>
        </w:rPr>
        <w:t xml:space="preserve"> of </w:t>
      </w:r>
      <w:r w:rsidRPr="003D4D8E">
        <w:rPr>
          <w:rFonts w:ascii="Times New Roman" w:hAnsi="Times New Roman"/>
          <w:i/>
          <w:sz w:val="24"/>
        </w:rPr>
        <w:t xml:space="preserve">tatara </w:t>
      </w:r>
      <w:r w:rsidRPr="003D4D8E">
        <w:rPr>
          <w:rFonts w:ascii="Times New Roman" w:hAnsi="Times New Roman"/>
          <w:sz w:val="24"/>
        </w:rPr>
        <w:t xml:space="preserve">ironmaking that had been extinguished </w:t>
      </w:r>
      <w:r w:rsidRPr="0042046A">
        <w:rPr>
          <w:rFonts w:ascii="Times New Roman" w:hAnsi="Times New Roman" w:cs="Times New Roman"/>
          <w:sz w:val="24"/>
          <w:szCs w:val="24"/>
        </w:rPr>
        <w:t xml:space="preserve">for </w:t>
      </w:r>
      <w:r w:rsidRPr="003D4D8E">
        <w:rPr>
          <w:rFonts w:ascii="Times New Roman" w:hAnsi="Times New Roman"/>
          <w:sz w:val="24"/>
        </w:rPr>
        <w:t xml:space="preserve">three decades. Ever since, their efforts have kept </w:t>
      </w:r>
      <w:r w:rsidRPr="0042046A">
        <w:rPr>
          <w:rFonts w:ascii="Times New Roman" w:hAnsi="Times New Roman" w:cs="Times New Roman"/>
          <w:sz w:val="24"/>
          <w:szCs w:val="24"/>
        </w:rPr>
        <w:t xml:space="preserve">modern </w:t>
      </w:r>
      <w:r w:rsidRPr="003D4D8E">
        <w:rPr>
          <w:rFonts w:ascii="Times New Roman" w:hAnsi="Times New Roman"/>
          <w:sz w:val="24"/>
        </w:rPr>
        <w:t xml:space="preserve">swordsmiths supplied with </w:t>
      </w:r>
      <w:r w:rsidRPr="0042046A">
        <w:rPr>
          <w:rFonts w:ascii="Times New Roman" w:hAnsi="Times New Roman" w:cs="Times New Roman"/>
          <w:sz w:val="24"/>
          <w:szCs w:val="24"/>
        </w:rPr>
        <w:t>vital</w:t>
      </w:r>
      <w:r w:rsidRPr="003D4D8E">
        <w:rPr>
          <w:rFonts w:ascii="Times New Roman" w:hAnsi="Times New Roman"/>
          <w:sz w:val="24"/>
        </w:rPr>
        <w:t xml:space="preserve"> </w:t>
      </w:r>
      <w:r w:rsidRPr="003D4D8E">
        <w:rPr>
          <w:rFonts w:ascii="Times New Roman" w:hAnsi="Times New Roman"/>
          <w:i/>
          <w:sz w:val="24"/>
        </w:rPr>
        <w:t xml:space="preserve">tamahagane </w:t>
      </w:r>
      <w:r w:rsidRPr="003D4D8E">
        <w:rPr>
          <w:rFonts w:ascii="Times New Roman" w:hAnsi="Times New Roman"/>
          <w:sz w:val="24"/>
        </w:rPr>
        <w:t>steel.</w:t>
      </w:r>
    </w:p>
    <w:p w:rsidR="00753759" w:rsidRPr="003D4D8E" w:rsidRDefault="00753759" w:rsidP="00753759">
      <w:pPr>
        <w:jc w:val="left"/>
        <w:rPr>
          <w:rFonts w:ascii="Times New Roman" w:hAnsi="Times New Roman"/>
          <w:sz w:val="24"/>
        </w:rPr>
      </w:pPr>
    </w:p>
    <w:p w:rsidR="00753759" w:rsidRPr="003D4D8E" w:rsidRDefault="00753759" w:rsidP="00753759">
      <w:pPr>
        <w:jc w:val="left"/>
        <w:rPr>
          <w:rFonts w:ascii="Times New Roman" w:hAnsi="Times New Roman"/>
          <w:sz w:val="24"/>
        </w:rPr>
      </w:pPr>
      <w:r w:rsidRPr="003D4D8E">
        <w:rPr>
          <w:rFonts w:ascii="Times New Roman" w:hAnsi="Times New Roman"/>
          <w:i/>
          <w:sz w:val="24"/>
        </w:rPr>
        <w:t>Tamahagane</w:t>
      </w:r>
      <w:r w:rsidRPr="003D4D8E">
        <w:rPr>
          <w:rFonts w:ascii="Times New Roman" w:hAnsi="Times New Roman"/>
          <w:sz w:val="24"/>
        </w:rPr>
        <w:t xml:space="preserve"> is high-grade steel that can be produced </w:t>
      </w:r>
      <w:r w:rsidRPr="0042046A">
        <w:rPr>
          <w:rFonts w:ascii="Times New Roman" w:hAnsi="Times New Roman" w:cs="Times New Roman"/>
          <w:sz w:val="24"/>
          <w:szCs w:val="24"/>
        </w:rPr>
        <w:t xml:space="preserve">only </w:t>
      </w:r>
      <w:r w:rsidRPr="003D4D8E">
        <w:rPr>
          <w:rFonts w:ascii="Times New Roman" w:hAnsi="Times New Roman"/>
          <w:sz w:val="24"/>
        </w:rPr>
        <w:t xml:space="preserve">through the direct method of </w:t>
      </w:r>
      <w:r w:rsidRPr="003D4D8E">
        <w:rPr>
          <w:rFonts w:ascii="Times New Roman" w:hAnsi="Times New Roman"/>
          <w:i/>
          <w:sz w:val="24"/>
        </w:rPr>
        <w:t>tatara</w:t>
      </w:r>
      <w:r w:rsidRPr="003D4D8E">
        <w:rPr>
          <w:rFonts w:ascii="Times New Roman" w:hAnsi="Times New Roman"/>
          <w:sz w:val="24"/>
        </w:rPr>
        <w:t xml:space="preserve"> smelting. </w:t>
      </w:r>
      <w:r w:rsidRPr="0042046A">
        <w:rPr>
          <w:rFonts w:ascii="Times New Roman" w:hAnsi="Times New Roman" w:cs="Times New Roman"/>
          <w:sz w:val="24"/>
          <w:szCs w:val="24"/>
        </w:rPr>
        <w:t>The</w:t>
      </w:r>
      <w:r w:rsidRPr="003D4D8E">
        <w:rPr>
          <w:rFonts w:ascii="Times New Roman" w:hAnsi="Times New Roman"/>
          <w:sz w:val="24"/>
        </w:rPr>
        <w:t xml:space="preserve"> strength and ductility</w:t>
      </w:r>
      <w:r w:rsidRPr="0042046A">
        <w:rPr>
          <w:rFonts w:ascii="Times New Roman" w:hAnsi="Times New Roman" w:cs="Times New Roman"/>
          <w:sz w:val="24"/>
          <w:szCs w:val="24"/>
        </w:rPr>
        <w:t xml:space="preserve"> of</w:t>
      </w:r>
      <w:r w:rsidRPr="003D4D8E">
        <w:rPr>
          <w:rFonts w:ascii="Times New Roman" w:hAnsi="Times New Roman"/>
          <w:sz w:val="24"/>
        </w:rPr>
        <w:t xml:space="preserve"> </w:t>
      </w:r>
      <w:r w:rsidRPr="003D4D8E">
        <w:rPr>
          <w:rFonts w:ascii="Times New Roman" w:hAnsi="Times New Roman"/>
          <w:i/>
          <w:sz w:val="24"/>
        </w:rPr>
        <w:t>tamahagane</w:t>
      </w:r>
      <w:r w:rsidRPr="003D4D8E">
        <w:rPr>
          <w:rFonts w:ascii="Times New Roman" w:hAnsi="Times New Roman"/>
          <w:sz w:val="24"/>
        </w:rPr>
        <w:t xml:space="preserve"> </w:t>
      </w:r>
      <w:r w:rsidRPr="0042046A">
        <w:rPr>
          <w:rFonts w:ascii="Times New Roman" w:hAnsi="Times New Roman" w:cs="Times New Roman"/>
          <w:sz w:val="24"/>
          <w:szCs w:val="24"/>
        </w:rPr>
        <w:t>have made it</w:t>
      </w:r>
      <w:r w:rsidRPr="003D4D8E">
        <w:rPr>
          <w:rFonts w:ascii="Times New Roman" w:hAnsi="Times New Roman"/>
          <w:sz w:val="24"/>
        </w:rPr>
        <w:t xml:space="preserve"> an irreplaceable material for swordsmithing since the Edo period</w:t>
      </w:r>
      <w:r w:rsidRPr="003D4D8E" w:rsidDel="00EB0A58">
        <w:rPr>
          <w:rFonts w:ascii="Times New Roman" w:hAnsi="Times New Roman"/>
          <w:sz w:val="24"/>
        </w:rPr>
        <w:t xml:space="preserve"> </w:t>
      </w:r>
      <w:r w:rsidRPr="003D4D8E">
        <w:rPr>
          <w:rFonts w:ascii="Times New Roman" w:hAnsi="Times New Roman"/>
          <w:sz w:val="24"/>
        </w:rPr>
        <w:t xml:space="preserve">(1603–1867). However, when faced with the competition of imported reverberatory furnaces and increased industrial demands for steel, </w:t>
      </w:r>
      <w:r w:rsidRPr="003D4D8E">
        <w:rPr>
          <w:rFonts w:ascii="Times New Roman" w:hAnsi="Times New Roman"/>
          <w:i/>
          <w:sz w:val="24"/>
        </w:rPr>
        <w:t xml:space="preserve">tatara </w:t>
      </w:r>
      <w:r w:rsidRPr="003D4D8E">
        <w:rPr>
          <w:rFonts w:ascii="Times New Roman" w:hAnsi="Times New Roman"/>
          <w:sz w:val="24"/>
        </w:rPr>
        <w:t>ironworks were unable to compete</w:t>
      </w:r>
      <w:r w:rsidRPr="0042046A">
        <w:rPr>
          <w:rFonts w:ascii="Times New Roman" w:hAnsi="Times New Roman" w:cs="Times New Roman"/>
          <w:sz w:val="24"/>
          <w:szCs w:val="24"/>
        </w:rPr>
        <w:t>,</w:t>
      </w:r>
      <w:r w:rsidRPr="003D4D8E">
        <w:rPr>
          <w:rFonts w:ascii="Times New Roman" w:hAnsi="Times New Roman"/>
          <w:sz w:val="24"/>
        </w:rPr>
        <w:t xml:space="preserve"> and </w:t>
      </w:r>
      <w:r w:rsidRPr="0042046A">
        <w:rPr>
          <w:rFonts w:ascii="Times New Roman" w:hAnsi="Times New Roman" w:cs="Times New Roman"/>
          <w:sz w:val="24"/>
          <w:szCs w:val="24"/>
        </w:rPr>
        <w:t xml:space="preserve">they </w:t>
      </w:r>
      <w:r w:rsidRPr="003D4D8E">
        <w:rPr>
          <w:rFonts w:ascii="Times New Roman" w:hAnsi="Times New Roman"/>
          <w:sz w:val="24"/>
        </w:rPr>
        <w:t xml:space="preserve">closed down in the 1920s. A small-scale operation was launched in 1933 to continue </w:t>
      </w:r>
      <w:r w:rsidRPr="003D4D8E">
        <w:rPr>
          <w:rFonts w:ascii="Times New Roman" w:hAnsi="Times New Roman"/>
          <w:i/>
          <w:sz w:val="24"/>
        </w:rPr>
        <w:t xml:space="preserve">tamahagane </w:t>
      </w:r>
      <w:r w:rsidRPr="003D4D8E">
        <w:rPr>
          <w:rFonts w:ascii="Times New Roman" w:hAnsi="Times New Roman"/>
          <w:sz w:val="24"/>
        </w:rPr>
        <w:t xml:space="preserve">production for military sabers, but this endeavor </w:t>
      </w:r>
      <w:r>
        <w:rPr>
          <w:rFonts w:ascii="Times New Roman" w:hAnsi="Times New Roman" w:cs="Times New Roman"/>
          <w:sz w:val="24"/>
          <w:szCs w:val="24"/>
        </w:rPr>
        <w:t>was ceased following</w:t>
      </w:r>
      <w:r w:rsidRPr="003D4D8E">
        <w:rPr>
          <w:rFonts w:ascii="Times New Roman" w:hAnsi="Times New Roman"/>
          <w:sz w:val="24"/>
        </w:rPr>
        <w:t xml:space="preserve"> the end of World War II </w:t>
      </w:r>
      <w:r w:rsidRPr="0042046A">
        <w:rPr>
          <w:rFonts w:ascii="Times New Roman" w:hAnsi="Times New Roman" w:cs="Times New Roman"/>
          <w:sz w:val="24"/>
          <w:szCs w:val="24"/>
        </w:rPr>
        <w:t>(1939–</w:t>
      </w:r>
      <w:r w:rsidRPr="003D4D8E">
        <w:rPr>
          <w:rFonts w:ascii="Times New Roman" w:hAnsi="Times New Roman"/>
          <w:sz w:val="24"/>
        </w:rPr>
        <w:t>1945</w:t>
      </w:r>
      <w:r w:rsidRPr="0042046A">
        <w:rPr>
          <w:rFonts w:ascii="Times New Roman" w:hAnsi="Times New Roman" w:cs="Times New Roman"/>
          <w:sz w:val="24"/>
          <w:szCs w:val="24"/>
        </w:rPr>
        <w:t>).</w:t>
      </w:r>
    </w:p>
    <w:p w:rsidR="00753759" w:rsidRPr="003D4D8E" w:rsidRDefault="00753759" w:rsidP="00753759">
      <w:pPr>
        <w:jc w:val="left"/>
        <w:rPr>
          <w:rFonts w:ascii="Times New Roman" w:hAnsi="Times New Roman"/>
          <w:sz w:val="24"/>
        </w:rPr>
      </w:pPr>
    </w:p>
    <w:p w:rsidR="00753759" w:rsidRPr="003D4D8E" w:rsidRDefault="00753759" w:rsidP="00753759">
      <w:pPr>
        <w:jc w:val="left"/>
        <w:rPr>
          <w:rFonts w:ascii="Times New Roman" w:hAnsi="Times New Roman"/>
          <w:sz w:val="24"/>
        </w:rPr>
      </w:pPr>
      <w:r w:rsidRPr="003D4D8E">
        <w:rPr>
          <w:rFonts w:ascii="Times New Roman" w:hAnsi="Times New Roman"/>
          <w:sz w:val="24"/>
        </w:rPr>
        <w:t xml:space="preserve">Japanese swords </w:t>
      </w:r>
      <w:r>
        <w:rPr>
          <w:rFonts w:ascii="Times New Roman" w:hAnsi="Times New Roman" w:cs="Times New Roman"/>
          <w:sz w:val="24"/>
          <w:szCs w:val="24"/>
        </w:rPr>
        <w:t xml:space="preserve">later </w:t>
      </w:r>
      <w:r w:rsidRPr="003D4D8E">
        <w:rPr>
          <w:rFonts w:ascii="Times New Roman" w:hAnsi="Times New Roman"/>
          <w:sz w:val="24"/>
        </w:rPr>
        <w:t xml:space="preserve">came to be appreciated </w:t>
      </w:r>
      <w:r>
        <w:rPr>
          <w:rFonts w:ascii="Times New Roman" w:hAnsi="Times New Roman" w:cs="Times New Roman"/>
          <w:sz w:val="24"/>
          <w:szCs w:val="24"/>
        </w:rPr>
        <w:t xml:space="preserve">and collected </w:t>
      </w:r>
      <w:r w:rsidRPr="0042046A">
        <w:rPr>
          <w:rFonts w:ascii="Times New Roman" w:hAnsi="Times New Roman" w:cs="Times New Roman"/>
          <w:sz w:val="24"/>
          <w:szCs w:val="24"/>
        </w:rPr>
        <w:t xml:space="preserve">throughout the world </w:t>
      </w:r>
      <w:r w:rsidRPr="003D4D8E">
        <w:rPr>
          <w:rFonts w:ascii="Times New Roman" w:hAnsi="Times New Roman"/>
          <w:sz w:val="24"/>
        </w:rPr>
        <w:t>as works of art</w:t>
      </w:r>
      <w:r w:rsidRPr="0042046A">
        <w:rPr>
          <w:rFonts w:ascii="Times New Roman" w:hAnsi="Times New Roman" w:cs="Times New Roman"/>
          <w:sz w:val="24"/>
          <w:szCs w:val="24"/>
        </w:rPr>
        <w:t>, but</w:t>
      </w:r>
      <w:r w:rsidRPr="003D4D8E">
        <w:rPr>
          <w:rFonts w:ascii="Times New Roman" w:hAnsi="Times New Roman"/>
          <w:sz w:val="24"/>
        </w:rPr>
        <w:t xml:space="preserve"> only 5 to 6 metric tons of </w:t>
      </w:r>
      <w:r w:rsidRPr="003D4D8E">
        <w:rPr>
          <w:rFonts w:ascii="Times New Roman" w:hAnsi="Times New Roman"/>
          <w:i/>
          <w:sz w:val="24"/>
        </w:rPr>
        <w:t>tamahagane</w:t>
      </w:r>
      <w:r w:rsidRPr="003D4D8E">
        <w:rPr>
          <w:rFonts w:ascii="Times New Roman" w:hAnsi="Times New Roman"/>
          <w:sz w:val="24"/>
        </w:rPr>
        <w:t xml:space="preserve"> remained after the war. In order to provide high-quality steel for the country’s swordsmiths, the Society for Preservation of Japanese Art Swords (</w:t>
      </w:r>
      <w:r w:rsidRPr="0042046A">
        <w:rPr>
          <w:rFonts w:ascii="Times New Roman" w:hAnsi="Times New Roman" w:cs="Times New Roman"/>
          <w:sz w:val="24"/>
          <w:szCs w:val="24"/>
        </w:rPr>
        <w:t xml:space="preserve">NBTHK, or </w:t>
      </w:r>
      <w:r w:rsidRPr="003D4D8E">
        <w:rPr>
          <w:rFonts w:ascii="Times New Roman" w:hAnsi="Times New Roman"/>
          <w:sz w:val="24"/>
        </w:rPr>
        <w:t>Nittōho) established a</w:t>
      </w:r>
      <w:r w:rsidRPr="003D4D8E">
        <w:rPr>
          <w:rFonts w:ascii="Times New Roman" w:hAnsi="Times New Roman"/>
          <w:i/>
          <w:sz w:val="24"/>
        </w:rPr>
        <w:t xml:space="preserve"> </w:t>
      </w:r>
      <w:r w:rsidRPr="003D4D8E">
        <w:rPr>
          <w:rFonts w:ascii="Times New Roman" w:hAnsi="Times New Roman"/>
          <w:sz w:val="24"/>
        </w:rPr>
        <w:t>traditional clay</w:t>
      </w:r>
      <w:r w:rsidRPr="003D4D8E">
        <w:rPr>
          <w:rFonts w:ascii="Times New Roman" w:hAnsi="Times New Roman"/>
          <w:i/>
          <w:sz w:val="24"/>
        </w:rPr>
        <w:t xml:space="preserve"> tatara </w:t>
      </w:r>
      <w:r w:rsidRPr="003D4D8E">
        <w:rPr>
          <w:rFonts w:ascii="Times New Roman" w:hAnsi="Times New Roman"/>
          <w:sz w:val="24"/>
        </w:rPr>
        <w:t>furnace in Okuizumo.</w:t>
      </w:r>
    </w:p>
    <w:p w:rsidR="00753759" w:rsidRPr="003D4D8E" w:rsidRDefault="00753759" w:rsidP="00753759">
      <w:pPr>
        <w:jc w:val="left"/>
        <w:rPr>
          <w:rFonts w:ascii="Times New Roman" w:hAnsi="Times New Roman"/>
          <w:sz w:val="24"/>
        </w:rPr>
      </w:pPr>
    </w:p>
    <w:p w:rsidR="00753759" w:rsidRPr="003D4D8E" w:rsidRDefault="00753759" w:rsidP="00753759">
      <w:pPr>
        <w:jc w:val="left"/>
        <w:rPr>
          <w:rFonts w:ascii="Times New Roman" w:hAnsi="Times New Roman"/>
          <w:sz w:val="24"/>
        </w:rPr>
      </w:pPr>
      <w:r w:rsidRPr="003D4D8E">
        <w:rPr>
          <w:rFonts w:ascii="Times New Roman" w:hAnsi="Times New Roman"/>
          <w:sz w:val="24"/>
        </w:rPr>
        <w:t xml:space="preserve">The </w:t>
      </w:r>
      <w:r>
        <w:rPr>
          <w:rFonts w:ascii="Times New Roman" w:hAnsi="Times New Roman" w:cs="Times New Roman"/>
          <w:sz w:val="24"/>
          <w:szCs w:val="24"/>
        </w:rPr>
        <w:t>secrets</w:t>
      </w:r>
      <w:r w:rsidRPr="003D4D8E">
        <w:rPr>
          <w:rFonts w:ascii="Times New Roman" w:hAnsi="Times New Roman"/>
          <w:sz w:val="24"/>
        </w:rPr>
        <w:t xml:space="preserve"> of </w:t>
      </w:r>
      <w:r w:rsidRPr="003D4D8E">
        <w:rPr>
          <w:rFonts w:ascii="Times New Roman" w:hAnsi="Times New Roman"/>
          <w:i/>
          <w:sz w:val="24"/>
        </w:rPr>
        <w:t>tatara</w:t>
      </w:r>
      <w:r w:rsidRPr="003D4D8E">
        <w:rPr>
          <w:rFonts w:ascii="Times New Roman" w:hAnsi="Times New Roman"/>
          <w:sz w:val="24"/>
        </w:rPr>
        <w:t xml:space="preserve"> ironmaking </w:t>
      </w:r>
      <w:r w:rsidRPr="0042046A">
        <w:rPr>
          <w:rFonts w:ascii="Times New Roman" w:hAnsi="Times New Roman" w:cs="Times New Roman"/>
          <w:sz w:val="24"/>
          <w:szCs w:val="24"/>
        </w:rPr>
        <w:t>had been</w:t>
      </w:r>
      <w:r w:rsidRPr="003D4D8E">
        <w:rPr>
          <w:rFonts w:ascii="Times New Roman" w:hAnsi="Times New Roman"/>
          <w:sz w:val="24"/>
        </w:rPr>
        <w:t xml:space="preserve"> closely guarded, so Nittōho went to great lengths to find people with firsthand experience. The vital role of </w:t>
      </w:r>
      <w:r w:rsidRPr="003D4D8E">
        <w:rPr>
          <w:rFonts w:ascii="Times New Roman" w:hAnsi="Times New Roman"/>
          <w:i/>
          <w:sz w:val="24"/>
        </w:rPr>
        <w:t>murage</w:t>
      </w:r>
      <w:r w:rsidRPr="003D4D8E">
        <w:rPr>
          <w:rFonts w:ascii="Times New Roman" w:hAnsi="Times New Roman"/>
          <w:sz w:val="24"/>
        </w:rPr>
        <w:t xml:space="preserve"> (foreman) fell to Abe Yoshizō (1902–1995) and Kumura Kanji (1903–1979), two men who had worked at regional furnaces in their youth. They passed on their knowledge to Kihara Akira (b. 1935) and Watanabe Katsuhiko (b. </w:t>
      </w:r>
      <w:r w:rsidRPr="0042046A">
        <w:rPr>
          <w:rFonts w:ascii="Times New Roman" w:hAnsi="Times New Roman" w:cs="Times New Roman"/>
          <w:sz w:val="24"/>
          <w:szCs w:val="24"/>
        </w:rPr>
        <w:t xml:space="preserve">1939), who in turn took </w:t>
      </w:r>
      <w:r>
        <w:rPr>
          <w:rFonts w:ascii="Times New Roman" w:hAnsi="Times New Roman" w:cs="Times New Roman"/>
          <w:sz w:val="24"/>
          <w:szCs w:val="24"/>
        </w:rPr>
        <w:t xml:space="preserve">on </w:t>
      </w:r>
      <w:r w:rsidRPr="0042046A">
        <w:rPr>
          <w:rFonts w:ascii="Times New Roman" w:hAnsi="Times New Roman" w:cs="Times New Roman"/>
          <w:sz w:val="24"/>
          <w:szCs w:val="24"/>
        </w:rPr>
        <w:t>their own apprentices,</w:t>
      </w:r>
      <w:r w:rsidRPr="003D4D8E">
        <w:rPr>
          <w:rFonts w:ascii="Times New Roman" w:hAnsi="Times New Roman"/>
          <w:sz w:val="24"/>
        </w:rPr>
        <w:t xml:space="preserve"> ensuring the </w:t>
      </w:r>
      <w:r w:rsidRPr="003D4D8E">
        <w:rPr>
          <w:rFonts w:ascii="Times New Roman" w:hAnsi="Times New Roman"/>
          <w:i/>
          <w:sz w:val="24"/>
        </w:rPr>
        <w:t>tatara</w:t>
      </w:r>
      <w:r w:rsidRPr="003D4D8E">
        <w:rPr>
          <w:rFonts w:ascii="Times New Roman" w:hAnsi="Times New Roman"/>
          <w:sz w:val="24"/>
        </w:rPr>
        <w:t xml:space="preserve"> tradition would continue for future generations.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59"/>
    <w:rsid w:val="00346BD8"/>
    <w:rsid w:val="00562B2A"/>
    <w:rsid w:val="0075375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BDE43B-32B0-4C32-AF4B-9D029914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375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375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375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5375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375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375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375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375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375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375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375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375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5375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375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375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375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375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375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375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37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7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37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759"/>
    <w:pPr>
      <w:spacing w:before="160" w:after="160"/>
      <w:jc w:val="center"/>
    </w:pPr>
    <w:rPr>
      <w:i/>
      <w:iCs/>
      <w:color w:val="404040" w:themeColor="text1" w:themeTint="BF"/>
    </w:rPr>
  </w:style>
  <w:style w:type="character" w:customStyle="1" w:styleId="a8">
    <w:name w:val="引用文 (文字)"/>
    <w:basedOn w:val="a0"/>
    <w:link w:val="a7"/>
    <w:uiPriority w:val="29"/>
    <w:rsid w:val="00753759"/>
    <w:rPr>
      <w:i/>
      <w:iCs/>
      <w:color w:val="404040" w:themeColor="text1" w:themeTint="BF"/>
    </w:rPr>
  </w:style>
  <w:style w:type="paragraph" w:styleId="a9">
    <w:name w:val="List Paragraph"/>
    <w:basedOn w:val="a"/>
    <w:uiPriority w:val="34"/>
    <w:qFormat/>
    <w:rsid w:val="00753759"/>
    <w:pPr>
      <w:ind w:left="720"/>
      <w:contextualSpacing/>
    </w:pPr>
  </w:style>
  <w:style w:type="character" w:styleId="21">
    <w:name w:val="Intense Emphasis"/>
    <w:basedOn w:val="a0"/>
    <w:uiPriority w:val="21"/>
    <w:qFormat/>
    <w:rsid w:val="00753759"/>
    <w:rPr>
      <w:i/>
      <w:iCs/>
      <w:color w:val="0F4761" w:themeColor="accent1" w:themeShade="BF"/>
    </w:rPr>
  </w:style>
  <w:style w:type="paragraph" w:styleId="22">
    <w:name w:val="Intense Quote"/>
    <w:basedOn w:val="a"/>
    <w:next w:val="a"/>
    <w:link w:val="23"/>
    <w:uiPriority w:val="30"/>
    <w:qFormat/>
    <w:rsid w:val="00753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53759"/>
    <w:rPr>
      <w:i/>
      <w:iCs/>
      <w:color w:val="0F4761" w:themeColor="accent1" w:themeShade="BF"/>
    </w:rPr>
  </w:style>
  <w:style w:type="character" w:styleId="24">
    <w:name w:val="Intense Reference"/>
    <w:basedOn w:val="a0"/>
    <w:uiPriority w:val="32"/>
    <w:qFormat/>
    <w:rsid w:val="007537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