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297E" w:rsidRPr="00D030B5" w:rsidRDefault="00C2297E" w:rsidP="00C2297E">
      <w:pPr>
        <w:jc w:val="left"/>
        <w:rPr>
          <w:rFonts w:ascii="Times New Roman" w:hAnsi="Times New Roman"/>
          <w:b/>
          <w:sz w:val="24"/>
        </w:rPr>
      </w:pPr>
      <w:r w:rsidRPr="00D030B5">
        <w:rPr>
          <w:rFonts w:ascii="Times New Roman" w:hAnsi="Times New Roman"/>
          <w:b/>
          <w:sz w:val="24"/>
        </w:rPr>
        <w:t>Dalian Friendship Memorial Building</w:t>
      </w:r>
    </w:p>
    <w:p/>
    <w:p w:rsidR="00C2297E" w:rsidRPr="00D030B5" w:rsidRDefault="00C2297E" w:rsidP="00C2297E">
      <w:pPr>
        <w:jc w:val="left"/>
        <w:rPr>
          <w:rFonts w:ascii="Times New Roman" w:hAnsi="Times New Roman"/>
          <w:sz w:val="24"/>
        </w:rPr>
      </w:pPr>
      <w:r w:rsidRPr="00D030B5">
        <w:rPr>
          <w:rFonts w:ascii="Times New Roman" w:hAnsi="Times New Roman"/>
          <w:sz w:val="24"/>
        </w:rPr>
        <w:t>This brick, stone, and wood structure was built in 1994 to commemorate the fifteenth anniversary of a friendship agreement between Kitakyushu and Dalian, China, which marked a positive turn in their complex history. The city of Dalian, known in English as “Port Arthur,” passed between Chinese, Russian, and Japanese control several times between 1895 and 1955. Moji was a key port connecting Japan to Dalian, particularly during the First Sino-Japanese War (1894–1895).</w:t>
      </w:r>
    </w:p>
    <w:p w:rsidR="00C2297E" w:rsidRPr="00D030B5" w:rsidRDefault="00C2297E" w:rsidP="00C2297E">
      <w:pPr>
        <w:ind w:firstLine="284"/>
        <w:jc w:val="left"/>
        <w:rPr>
          <w:rFonts w:ascii="Times New Roman" w:hAnsi="Times New Roman"/>
          <w:sz w:val="24"/>
        </w:rPr>
      </w:pPr>
      <w:r w:rsidRPr="00D030B5">
        <w:rPr>
          <w:rFonts w:ascii="Times New Roman" w:hAnsi="Times New Roman"/>
          <w:sz w:val="24"/>
        </w:rPr>
        <w:t>The second floor is a public space with displays of artworks and materials related to Dalian, including an introductory video in Mandarin and Japanese.</w:t>
      </w:r>
    </w:p>
    <w:p w:rsidR="00C2297E" w:rsidRPr="00D030B5" w:rsidRDefault="00C2297E" w:rsidP="00C2297E">
      <w:pPr>
        <w:jc w:val="left"/>
        <w:rPr>
          <w:rFonts w:ascii="Times New Roman" w:hAnsi="Times New Roman"/>
          <w:sz w:val="24"/>
        </w:rPr>
      </w:pPr>
    </w:p>
    <w:p w:rsidR="00C2297E" w:rsidRPr="00D030B5" w:rsidRDefault="00C2297E" w:rsidP="00C2297E">
      <w:pPr>
        <w:ind w:right="220"/>
        <w:jc w:val="left"/>
        <w:rPr>
          <w:rFonts w:ascii="Times New Roman" w:hAnsi="Times New Roman"/>
          <w:i/>
          <w:sz w:val="24"/>
        </w:rPr>
      </w:pPr>
      <w:r w:rsidRPr="00D030B5">
        <w:rPr>
          <w:rFonts w:ascii="Times New Roman" w:hAnsi="Times New Roman"/>
          <w:i/>
          <w:sz w:val="24"/>
        </w:rPr>
        <w:t>Authentic Construction</w:t>
      </w:r>
    </w:p>
    <w:p w:rsidR="00C2297E" w:rsidRPr="0042683E" w:rsidRDefault="00C2297E" w:rsidP="00C2297E">
      <w:pPr>
        <w:jc w:val="left"/>
        <w:rPr>
          <w:rFonts w:ascii="Times New Roman" w:eastAsia="メイリオ" w:hAnsi="Times New Roman" w:cs="Times New Roman"/>
          <w:sz w:val="24"/>
          <w:szCs w:val="24"/>
        </w:rPr>
      </w:pPr>
      <w:r w:rsidRPr="00D030B5">
        <w:rPr>
          <w:rFonts w:ascii="Times New Roman" w:hAnsi="Times New Roman"/>
          <w:sz w:val="24"/>
        </w:rPr>
        <w:t xml:space="preserve">This building is modeled on a Dalian railroad office </w:t>
      </w:r>
      <w:r w:rsidRPr="0042683E">
        <w:rPr>
          <w:rFonts w:ascii="Times New Roman" w:eastAsia="メイリオ" w:hAnsi="Times New Roman" w:cs="Times New Roman"/>
          <w:sz w:val="24"/>
          <w:szCs w:val="24"/>
        </w:rPr>
        <w:t xml:space="preserve">that was </w:t>
      </w:r>
      <w:r w:rsidRPr="00D030B5">
        <w:rPr>
          <w:rFonts w:ascii="Times New Roman" w:hAnsi="Times New Roman"/>
          <w:sz w:val="24"/>
        </w:rPr>
        <w:t>designed in 1902 by German architects hired by Russian city administrators. The building</w:t>
      </w:r>
      <w:r w:rsidRPr="0042683E">
        <w:rPr>
          <w:rFonts w:ascii="Times New Roman" w:eastAsia="メイリオ" w:hAnsi="Times New Roman" w:cs="Times New Roman"/>
          <w:sz w:val="24"/>
          <w:szCs w:val="24"/>
        </w:rPr>
        <w:t xml:space="preserve">’s architecture reflects its multinational roots. There are </w:t>
      </w:r>
      <w:r>
        <w:rPr>
          <w:rFonts w:ascii="Times New Roman" w:eastAsia="メイリオ" w:hAnsi="Times New Roman" w:cs="Times New Roman"/>
          <w:sz w:val="24"/>
          <w:szCs w:val="24"/>
        </w:rPr>
        <w:t>clear</w:t>
      </w:r>
      <w:r w:rsidRPr="0042683E">
        <w:rPr>
          <w:rFonts w:ascii="Times New Roman" w:eastAsia="メイリオ" w:hAnsi="Times New Roman" w:cs="Times New Roman"/>
          <w:sz w:val="24"/>
          <w:szCs w:val="24"/>
        </w:rPr>
        <w:t xml:space="preserve"> Russian and German </w:t>
      </w:r>
      <w:r>
        <w:rPr>
          <w:rFonts w:ascii="Times New Roman" w:eastAsia="メイリオ" w:hAnsi="Times New Roman" w:cs="Times New Roman"/>
          <w:sz w:val="24"/>
          <w:szCs w:val="24"/>
        </w:rPr>
        <w:t>elements, such</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as</w:t>
      </w:r>
      <w:r w:rsidRPr="0042683E">
        <w:rPr>
          <w:rFonts w:ascii="Times New Roman" w:eastAsia="メイリオ" w:hAnsi="Times New Roman" w:cs="Times New Roman"/>
          <w:sz w:val="24"/>
          <w:szCs w:val="24"/>
        </w:rPr>
        <w:t xml:space="preserve"> the high-steepled tower roofs and half-timbered walls, and the Chinese-style roof has rows of interlocking curved tiles rather than Japanese-style overlapping plates.</w:t>
      </w:r>
    </w:p>
    <w:p w:rsidR="00C2297E" w:rsidRDefault="00C2297E" w:rsidP="00C2297E">
      <w:pPr>
        <w:ind w:firstLine="284"/>
        <w:jc w:val="left"/>
        <w:rPr>
          <w:rFonts w:ascii="Times New Roman" w:hAnsi="Times New Roman"/>
          <w:sz w:val="24"/>
        </w:rPr>
      </w:pPr>
      <w:r w:rsidRPr="0042683E">
        <w:rPr>
          <w:rFonts w:ascii="Times New Roman" w:eastAsia="メイリオ" w:hAnsi="Times New Roman" w:cs="Times New Roman"/>
          <w:sz w:val="24"/>
          <w:szCs w:val="24"/>
        </w:rPr>
        <w:t>The railroad office</w:t>
      </w:r>
      <w:r w:rsidRPr="00D030B5">
        <w:rPr>
          <w:rFonts w:ascii="Times New Roman" w:hAnsi="Times New Roman"/>
          <w:sz w:val="24"/>
        </w:rPr>
        <w:t xml:space="preserve"> was chosen for its aesthetic appeal, rarity, and historical value, and considerable efforts were taken to recreate the design as exactly as possible</w:t>
      </w:r>
      <w:r w:rsidRPr="0042683E">
        <w:rPr>
          <w:rFonts w:ascii="Times New Roman" w:eastAsia="メイリオ" w:hAnsi="Times New Roman" w:cs="Times New Roman"/>
          <w:sz w:val="24"/>
          <w:szCs w:val="24"/>
        </w:rPr>
        <w:t>.</w:t>
      </w:r>
      <w:r w:rsidRPr="00D030B5">
        <w:rPr>
          <w:rFonts w:ascii="Times New Roman" w:hAnsi="Times New Roman"/>
          <w:sz w:val="24"/>
        </w:rPr>
        <w:t xml:space="preserve"> The original blueprints had been lost, so the architects traveled to Dalian and took careful measurements of the existing building. Bricks and stone from the original quarry were imported from Dalian for the construction. The project required close cooperation between the two cities and nations, and the </w:t>
      </w:r>
      <w:r w:rsidRPr="0042683E">
        <w:rPr>
          <w:rFonts w:ascii="Times New Roman" w:eastAsia="メイリオ" w:hAnsi="Times New Roman" w:cs="Times New Roman"/>
          <w:sz w:val="24"/>
          <w:szCs w:val="24"/>
        </w:rPr>
        <w:t xml:space="preserve">recreated </w:t>
      </w:r>
      <w:r w:rsidRPr="00D030B5">
        <w:rPr>
          <w:rFonts w:ascii="Times New Roman" w:hAnsi="Times New Roman"/>
          <w:sz w:val="24"/>
        </w:rPr>
        <w:t xml:space="preserve">building </w:t>
      </w:r>
      <w:r w:rsidRPr="0042683E">
        <w:rPr>
          <w:rFonts w:ascii="Times New Roman" w:eastAsia="メイリオ" w:hAnsi="Times New Roman" w:cs="Times New Roman"/>
          <w:sz w:val="24"/>
          <w:szCs w:val="24"/>
        </w:rPr>
        <w:t>is</w:t>
      </w:r>
      <w:r w:rsidRPr="00D030B5">
        <w:rPr>
          <w:rFonts w:ascii="Times New Roman" w:hAnsi="Times New Roman"/>
          <w:sz w:val="24"/>
        </w:rPr>
        <w:t xml:space="preserve"> a symbol of amity </w:t>
      </w:r>
      <w:r w:rsidRPr="0042683E">
        <w:rPr>
          <w:rFonts w:ascii="Times New Roman" w:eastAsia="メイリオ" w:hAnsi="Times New Roman" w:cs="Times New Roman"/>
          <w:sz w:val="24"/>
          <w:szCs w:val="24"/>
        </w:rPr>
        <w:t>despite the</w:t>
      </w:r>
      <w:r w:rsidRPr="00D030B5">
        <w:rPr>
          <w:rFonts w:ascii="Times New Roman" w:hAnsi="Times New Roman"/>
          <w:sz w:val="24"/>
        </w:rPr>
        <w:t xml:space="preserve"> complicated histor</w:t>
      </w:r>
      <w:r>
        <w:rPr>
          <w:rFonts w:ascii="Times New Roman" w:hAnsi="Times New Roman"/>
          <w:sz w:val="24"/>
        </w:rPr>
        <w:t>ies</w:t>
      </w:r>
      <w:r w:rsidRPr="0042683E">
        <w:rPr>
          <w:rFonts w:ascii="Times New Roman" w:eastAsia="メイリオ" w:hAnsi="Times New Roman" w:cs="Times New Roman"/>
          <w:sz w:val="24"/>
          <w:szCs w:val="24"/>
        </w:rPr>
        <w:t xml:space="preserve"> of the two cities</w:t>
      </w:r>
      <w:r w:rsidRPr="00D030B5">
        <w:rPr>
          <w:rFonts w:ascii="Times New Roman" w:hAnsi="Times New Roman"/>
          <w:sz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7E"/>
    <w:rsid w:val="00346BD8"/>
    <w:rsid w:val="00562B2A"/>
    <w:rsid w:val="00BD54C2"/>
    <w:rsid w:val="00C2297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741158-E86C-4560-A1B0-017D379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29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29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29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29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29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29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29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29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29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29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29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29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29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29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29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29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29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29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29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2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9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2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97E"/>
    <w:pPr>
      <w:spacing w:before="160" w:after="160"/>
      <w:jc w:val="center"/>
    </w:pPr>
    <w:rPr>
      <w:i/>
      <w:iCs/>
      <w:color w:val="404040" w:themeColor="text1" w:themeTint="BF"/>
    </w:rPr>
  </w:style>
  <w:style w:type="character" w:customStyle="1" w:styleId="a8">
    <w:name w:val="引用文 (文字)"/>
    <w:basedOn w:val="a0"/>
    <w:link w:val="a7"/>
    <w:uiPriority w:val="29"/>
    <w:rsid w:val="00C2297E"/>
    <w:rPr>
      <w:i/>
      <w:iCs/>
      <w:color w:val="404040" w:themeColor="text1" w:themeTint="BF"/>
    </w:rPr>
  </w:style>
  <w:style w:type="paragraph" w:styleId="a9">
    <w:name w:val="List Paragraph"/>
    <w:basedOn w:val="a"/>
    <w:uiPriority w:val="34"/>
    <w:qFormat/>
    <w:rsid w:val="00C2297E"/>
    <w:pPr>
      <w:ind w:left="720"/>
      <w:contextualSpacing/>
    </w:pPr>
  </w:style>
  <w:style w:type="character" w:styleId="21">
    <w:name w:val="Intense Emphasis"/>
    <w:basedOn w:val="a0"/>
    <w:uiPriority w:val="21"/>
    <w:qFormat/>
    <w:rsid w:val="00C2297E"/>
    <w:rPr>
      <w:i/>
      <w:iCs/>
      <w:color w:val="0F4761" w:themeColor="accent1" w:themeShade="BF"/>
    </w:rPr>
  </w:style>
  <w:style w:type="paragraph" w:styleId="22">
    <w:name w:val="Intense Quote"/>
    <w:basedOn w:val="a"/>
    <w:next w:val="a"/>
    <w:link w:val="23"/>
    <w:uiPriority w:val="30"/>
    <w:qFormat/>
    <w:rsid w:val="00C22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297E"/>
    <w:rPr>
      <w:i/>
      <w:iCs/>
      <w:color w:val="0F4761" w:themeColor="accent1" w:themeShade="BF"/>
    </w:rPr>
  </w:style>
  <w:style w:type="character" w:styleId="24">
    <w:name w:val="Intense Reference"/>
    <w:basedOn w:val="a0"/>
    <w:uiPriority w:val="32"/>
    <w:qFormat/>
    <w:rsid w:val="00C229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