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24F2" w:rsidRPr="009E79B5" w:rsidRDefault="00D124F2" w:rsidP="00D124F2">
      <w:pPr>
        <w:jc w:val="left"/>
        <w:rPr>
          <w:rFonts w:ascii="Times New Roman" w:hAnsi="Times New Roman" w:cs="Times New Roman"/>
          <w:b/>
          <w:iCs/>
          <w:sz w:val="22"/>
        </w:rPr>
      </w:pPr>
      <w:r w:rsidRPr="00E669A7">
        <w:rPr>
          <w:rFonts w:ascii="Times New Roman" w:hAnsi="Times New Roman" w:cs="Times New Roman"/>
          <w:b/>
          <w:bCs/>
          <w:i/>
          <w:iCs/>
          <w:sz w:val="22"/>
        </w:rPr>
        <w:t>Illustrated Miracles of the Kasuga Deity</w:t>
      </w:r>
      <w:r w:rsidRPr="003571D4">
        <w:rPr>
          <w:rFonts w:ascii="Times New Roman" w:hAnsi="Times New Roman"/>
          <w:b/>
          <w:i/>
          <w:sz w:val="22"/>
        </w:rPr>
        <w:t xml:space="preserve"> </w:t>
      </w:r>
      <w:r w:rsidRPr="00285B99">
        <w:rPr>
          <w:rFonts w:ascii="Times New Roman" w:hAnsi="Times New Roman" w:cs="Times New Roman"/>
          <w:b/>
          <w:bCs/>
          <w:iCs/>
          <w:sz w:val="22"/>
        </w:rPr>
        <w:t>(</w:t>
      </w:r>
      <w:r w:rsidRPr="003571D4">
        <w:rPr>
          <w:rFonts w:ascii="Times New Roman" w:hAnsi="Times New Roman"/>
          <w:b/>
          <w:i/>
          <w:sz w:val="22"/>
        </w:rPr>
        <w:t>Kasuga Gongen Genki</w:t>
      </w:r>
      <w:r>
        <w:rPr>
          <w:rFonts w:ascii="Times New Roman" w:hAnsi="Times New Roman"/>
          <w:b/>
          <w:i/>
          <w:sz w:val="22"/>
        </w:rPr>
        <w:t>-e</w:t>
      </w:r>
      <w:r w:rsidRPr="00285B99">
        <w:rPr>
          <w:rFonts w:ascii="Times New Roman" w:hAnsi="Times New Roman" w:cs="Times New Roman"/>
          <w:b/>
          <w:bCs/>
          <w:sz w:val="22"/>
        </w:rPr>
        <w:t>)</w:t>
      </w:r>
    </w:p>
    <w:p/>
    <w:p w:rsidR="00D124F2" w:rsidRDefault="00D124F2" w:rsidP="00D124F2">
      <w:pPr>
        <w:jc w:val="left"/>
        <w:rPr>
          <w:rFonts w:ascii="Times New Roman" w:hAnsi="Times New Roman" w:cs="Times New Roman"/>
          <w:sz w:val="22"/>
        </w:rPr>
      </w:pPr>
      <w:r w:rsidRPr="00E669A7">
        <w:rPr>
          <w:rFonts w:ascii="Times New Roman" w:hAnsi="Times New Roman" w:cs="Times New Roman"/>
          <w:i/>
          <w:iCs/>
          <w:sz w:val="22"/>
        </w:rPr>
        <w:t>Illustrated Miracles of the Kasuga Deity</w:t>
      </w:r>
      <w:r w:rsidRPr="00A013DD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or the </w:t>
      </w:r>
      <w:r>
        <w:rPr>
          <w:rFonts w:ascii="Times New Roman" w:hAnsi="Times New Roman" w:cs="Times New Roman"/>
          <w:i/>
          <w:iCs/>
          <w:sz w:val="22"/>
        </w:rPr>
        <w:t>Kasuga Scrolls</w:t>
      </w:r>
      <w:r>
        <w:rPr>
          <w:rFonts w:ascii="Times New Roman" w:hAnsi="Times New Roman" w:cs="Times New Roman"/>
          <w:sz w:val="22"/>
        </w:rPr>
        <w:t>,</w:t>
      </w:r>
      <w:r w:rsidRPr="009E79B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is a set of fourteenth-century handscrolls (</w:t>
      </w:r>
      <w:r w:rsidRPr="00A013DD">
        <w:rPr>
          <w:rFonts w:ascii="Times New Roman" w:hAnsi="Times New Roman" w:cs="Times New Roman"/>
          <w:i/>
          <w:sz w:val="22"/>
        </w:rPr>
        <w:t>emaki</w:t>
      </w:r>
      <w:r>
        <w:rPr>
          <w:rFonts w:ascii="Times New Roman" w:hAnsi="Times New Roman" w:cs="Times New Roman"/>
          <w:sz w:val="22"/>
        </w:rPr>
        <w:t xml:space="preserve">) depicting stories of the five deities that are collectively known as the </w:t>
      </w:r>
      <w:r w:rsidRPr="003571D4">
        <w:rPr>
          <w:rFonts w:ascii="Times New Roman" w:hAnsi="Times New Roman"/>
          <w:sz w:val="22"/>
        </w:rPr>
        <w:t>Kasuga Gongen</w:t>
      </w:r>
      <w:r>
        <w:rPr>
          <w:rFonts w:ascii="Times New Roman" w:hAnsi="Times New Roman" w:cs="Times New Roman"/>
          <w:sz w:val="22"/>
        </w:rPr>
        <w:t xml:space="preserve">. </w:t>
      </w:r>
      <w:r w:rsidRPr="009E79B5">
        <w:rPr>
          <w:rFonts w:ascii="Times New Roman" w:hAnsi="Times New Roman" w:cs="Times New Roman"/>
          <w:i/>
          <w:iCs/>
          <w:sz w:val="22"/>
        </w:rPr>
        <w:t>Emaki</w:t>
      </w:r>
      <w:r>
        <w:rPr>
          <w:rFonts w:ascii="Times New Roman" w:hAnsi="Times New Roman" w:cs="Times New Roman"/>
          <w:sz w:val="22"/>
        </w:rPr>
        <w:t xml:space="preserve"> </w:t>
      </w:r>
      <w:r w:rsidRPr="009E79B5">
        <w:rPr>
          <w:rFonts w:ascii="Times New Roman" w:hAnsi="Times New Roman" w:cs="Times New Roman"/>
          <w:sz w:val="22"/>
        </w:rPr>
        <w:t xml:space="preserve">depict </w:t>
      </w:r>
      <w:r>
        <w:rPr>
          <w:rFonts w:ascii="Times New Roman" w:hAnsi="Times New Roman" w:cs="Times New Roman"/>
          <w:sz w:val="22"/>
        </w:rPr>
        <w:t>stories</w:t>
      </w:r>
      <w:r w:rsidRPr="009E79B5">
        <w:rPr>
          <w:rFonts w:ascii="Times New Roman" w:hAnsi="Times New Roman" w:cs="Times New Roman"/>
          <w:sz w:val="22"/>
        </w:rPr>
        <w:t xml:space="preserve"> through</w:t>
      </w:r>
      <w:r>
        <w:rPr>
          <w:rFonts w:ascii="Times New Roman" w:hAnsi="Times New Roman" w:cs="Times New Roman"/>
          <w:sz w:val="22"/>
        </w:rPr>
        <w:t xml:space="preserve"> a combination of </w:t>
      </w:r>
      <w:r w:rsidRPr="009E79B5">
        <w:rPr>
          <w:rFonts w:ascii="Times New Roman" w:hAnsi="Times New Roman" w:cs="Times New Roman"/>
          <w:sz w:val="22"/>
        </w:rPr>
        <w:t>pictures</w:t>
      </w:r>
      <w:r>
        <w:rPr>
          <w:rFonts w:ascii="Times New Roman" w:hAnsi="Times New Roman" w:cs="Times New Roman"/>
          <w:sz w:val="22"/>
        </w:rPr>
        <w:t xml:space="preserve"> and text</w:t>
      </w:r>
      <w:r w:rsidRPr="009E79B5">
        <w:rPr>
          <w:rFonts w:ascii="Times New Roman" w:hAnsi="Times New Roman" w:cs="Times New Roman"/>
          <w:sz w:val="22"/>
        </w:rPr>
        <w:t xml:space="preserve"> that </w:t>
      </w:r>
      <w:r>
        <w:rPr>
          <w:rFonts w:ascii="Times New Roman" w:hAnsi="Times New Roman" w:cs="Times New Roman"/>
          <w:sz w:val="22"/>
        </w:rPr>
        <w:t>is revealed</w:t>
      </w:r>
      <w:r w:rsidRPr="009E79B5">
        <w:rPr>
          <w:rFonts w:ascii="Times New Roman" w:hAnsi="Times New Roman" w:cs="Times New Roman"/>
          <w:sz w:val="22"/>
        </w:rPr>
        <w:t xml:space="preserve"> from right to left</w:t>
      </w:r>
      <w:r>
        <w:rPr>
          <w:rFonts w:ascii="Times New Roman" w:hAnsi="Times New Roman" w:cs="Times New Roman"/>
          <w:sz w:val="22"/>
        </w:rPr>
        <w:t xml:space="preserve"> as the scroll is unrolled</w:t>
      </w:r>
      <w:r w:rsidRPr="009E79B5">
        <w:rPr>
          <w:rFonts w:ascii="Times New Roman" w:hAnsi="Times New Roman" w:cs="Times New Roman"/>
          <w:sz w:val="22"/>
        </w:rPr>
        <w:t xml:space="preserve">. </w:t>
      </w:r>
      <w:r w:rsidRPr="00521BE5">
        <w:rPr>
          <w:rFonts w:ascii="Times New Roman" w:hAnsi="Times New Roman" w:cs="Times New Roman"/>
          <w:i/>
          <w:iCs/>
          <w:sz w:val="22"/>
        </w:rPr>
        <w:t>Illustrated Miracles of the Kasuga Deity</w:t>
      </w:r>
      <w:r w:rsidRPr="009E79B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contains a wide range of genre stories</w:t>
      </w:r>
      <w:r w:rsidRPr="009E79B5">
        <w:rPr>
          <w:rFonts w:ascii="Times New Roman" w:hAnsi="Times New Roman" w:cs="Times New Roman"/>
          <w:sz w:val="22"/>
        </w:rPr>
        <w:t xml:space="preserve"> from </w:t>
      </w:r>
      <w:r>
        <w:rPr>
          <w:rFonts w:ascii="Times New Roman" w:hAnsi="Times New Roman" w:cs="Times New Roman"/>
          <w:sz w:val="22"/>
        </w:rPr>
        <w:t>religious episodes to historical tales brimming with action, adventure, and miraculous events</w:t>
      </w:r>
      <w:r w:rsidRPr="009E79B5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The aristocrat </w:t>
      </w:r>
      <w:r w:rsidRPr="009E79B5">
        <w:rPr>
          <w:rFonts w:ascii="Times New Roman" w:hAnsi="Times New Roman" w:cs="Times New Roman"/>
          <w:sz w:val="22"/>
        </w:rPr>
        <w:t>Saionji Kinhira (1264</w:t>
      </w:r>
      <w:r w:rsidRPr="009E79B5">
        <w:rPr>
          <w:rFonts w:ascii="Times New Roman" w:hAnsi="Times New Roman" w:cs="Times New Roman"/>
          <w:color w:val="000000"/>
          <w:sz w:val="22"/>
        </w:rPr>
        <w:t>–1315)</w:t>
      </w:r>
      <w:r>
        <w:rPr>
          <w:rFonts w:ascii="Times New Roman" w:hAnsi="Times New Roman" w:cs="Times New Roman"/>
          <w:color w:val="000000"/>
          <w:sz w:val="22"/>
        </w:rPr>
        <w:t xml:space="preserve"> commissioned the scrolls </w:t>
      </w:r>
      <w:r w:rsidRPr="009E79B5">
        <w:rPr>
          <w:rFonts w:ascii="Times New Roman" w:hAnsi="Times New Roman" w:cs="Times New Roman"/>
          <w:color w:val="000000"/>
          <w:sz w:val="22"/>
        </w:rPr>
        <w:t>as an offering to the deities of Kasuga Taisha Shrine in Nara</w:t>
      </w:r>
      <w:r>
        <w:rPr>
          <w:rFonts w:ascii="Times New Roman" w:hAnsi="Times New Roman" w:cs="Times New Roman"/>
          <w:color w:val="000000"/>
          <w:sz w:val="22"/>
        </w:rPr>
        <w:t>, and they were completed around 1309</w:t>
      </w:r>
      <w:r w:rsidRPr="009E79B5">
        <w:rPr>
          <w:rFonts w:ascii="Times New Roman" w:hAnsi="Times New Roman" w:cs="Times New Roman"/>
          <w:color w:val="000000"/>
          <w:sz w:val="22"/>
        </w:rPr>
        <w:t>.</w:t>
      </w:r>
    </w:p>
    <w:p w:rsidR="00D124F2" w:rsidRPr="00C00D4D" w:rsidRDefault="00D124F2" w:rsidP="00D124F2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Kinhira was the head of the Saionji family, which was a branch of the powerful and aristocratic Fujiwara family. In the beginning of the fourteenth century, Kinhira became involved in a dispute with Retired Emperor Gouda (</w:t>
      </w:r>
      <w:r w:rsidRPr="00AB3C66">
        <w:rPr>
          <w:rFonts w:ascii="Times New Roman" w:hAnsi="Times New Roman" w:cs="Times New Roman"/>
          <w:sz w:val="22"/>
        </w:rPr>
        <w:t>1267–1324</w:t>
      </w:r>
      <w:r>
        <w:rPr>
          <w:rFonts w:ascii="Times New Roman" w:hAnsi="Times New Roman" w:cs="Times New Roman"/>
          <w:sz w:val="22"/>
        </w:rPr>
        <w:t>), and his position in the imperial court became unstable, culminating in his dismissal in January of 1306</w:t>
      </w:r>
      <w:r>
        <w:rPr>
          <w:rFonts w:ascii="Times New Roman" w:hAnsi="Times New Roman" w:cs="Times New Roman" w:hint="eastAsia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Two months later, however, he had regained his courtly position, and in 1309 he was promoted to </w:t>
      </w:r>
      <w:r w:rsidRPr="00AB3C66">
        <w:rPr>
          <w:rFonts w:ascii="Times New Roman" w:hAnsi="Times New Roman" w:cs="Times New Roman"/>
          <w:sz w:val="22"/>
        </w:rPr>
        <w:t>Minister of the Left</w:t>
      </w:r>
      <w:r>
        <w:rPr>
          <w:rFonts w:ascii="Times New Roman" w:hAnsi="Times New Roman" w:cs="Times New Roman"/>
          <w:sz w:val="22"/>
        </w:rPr>
        <w:t xml:space="preserve"> (in practice, the most powerful role in the courtly </w:t>
      </w:r>
      <w:r w:rsidRPr="00AB3C66">
        <w:rPr>
          <w:rFonts w:ascii="Times New Roman" w:hAnsi="Times New Roman" w:cs="Times New Roman"/>
          <w:sz w:val="22"/>
        </w:rPr>
        <w:t>bureaucracy</w:t>
      </w:r>
      <w:r>
        <w:rPr>
          <w:rFonts w:ascii="Times New Roman" w:hAnsi="Times New Roman" w:cs="Times New Roman"/>
          <w:sz w:val="22"/>
        </w:rPr>
        <w:t>). Kinhira’s good fortune at court after the near destruction of his political career instilled in him a deep sense of gratitude and inspired him to commission this set of splendid scrolls for Kasuga Taisha, the patron shrine of the Fujiwara family.</w:t>
      </w:r>
    </w:p>
    <w:p w:rsidR="00D124F2" w:rsidRPr="004371F2" w:rsidRDefault="00D124F2" w:rsidP="00D124F2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4371F2">
        <w:rPr>
          <w:rFonts w:ascii="Times New Roman" w:hAnsi="Times New Roman" w:cs="Times New Roman"/>
          <w:sz w:val="22"/>
        </w:rPr>
        <w:t xml:space="preserve">The </w:t>
      </w:r>
      <w:r w:rsidRPr="004371F2">
        <w:rPr>
          <w:rFonts w:ascii="Times New Roman" w:hAnsi="Times New Roman" w:cs="Times New Roman"/>
          <w:i/>
          <w:iCs/>
          <w:sz w:val="22"/>
        </w:rPr>
        <w:t>Kasuga Scrolls</w:t>
      </w:r>
      <w:r w:rsidRPr="004371F2">
        <w:rPr>
          <w:rFonts w:ascii="Times New Roman" w:hAnsi="Times New Roman" w:cs="Times New Roman"/>
          <w:sz w:val="22"/>
        </w:rPr>
        <w:t xml:space="preserve"> are considered to be a masterpiece of the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</w:rPr>
        <w:t>emaki</w:t>
      </w:r>
      <w:r w:rsidRPr="004371F2">
        <w:rPr>
          <w:rFonts w:ascii="Times New Roman" w:hAnsi="Times New Roman" w:cs="Times New Roman" w:hint="eastAsia"/>
          <w:sz w:val="22"/>
        </w:rPr>
        <w:t xml:space="preserve"> </w:t>
      </w:r>
      <w:r w:rsidRPr="004371F2">
        <w:rPr>
          <w:rFonts w:ascii="Times New Roman" w:hAnsi="Times New Roman" w:cs="Times New Roman"/>
          <w:sz w:val="22"/>
        </w:rPr>
        <w:t>medium. The court artist Takashina Takakane (dates unknown) undertook the painting of</w:t>
      </w:r>
      <w:r w:rsidRPr="003571D4">
        <w:rPr>
          <w:rFonts w:ascii="Times New Roman" w:hAnsi="Times New Roman"/>
          <w:i/>
          <w:sz w:val="22"/>
        </w:rPr>
        <w:t xml:space="preserve"> </w:t>
      </w:r>
      <w:r w:rsidRPr="00521BE5">
        <w:rPr>
          <w:rFonts w:ascii="Times New Roman" w:hAnsi="Times New Roman" w:cs="Times New Roman"/>
          <w:i/>
          <w:iCs/>
          <w:sz w:val="22"/>
        </w:rPr>
        <w:t>Illustrated Miracles of the Kasuga Deity</w:t>
      </w:r>
      <w:r w:rsidRPr="004371F2">
        <w:rPr>
          <w:rFonts w:ascii="Times New Roman" w:hAnsi="Times New Roman" w:cs="Times New Roman"/>
          <w:sz w:val="22"/>
        </w:rPr>
        <w:t xml:space="preserve">, producing 20 scrolls of stories describing the miracles </w:t>
      </w:r>
      <w:r>
        <w:rPr>
          <w:rFonts w:ascii="Times New Roman" w:hAnsi="Times New Roman" w:cs="Times New Roman"/>
          <w:sz w:val="22"/>
        </w:rPr>
        <w:t>associated with</w:t>
      </w:r>
      <w:r w:rsidRPr="004371F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the </w:t>
      </w:r>
      <w:r w:rsidRPr="004371F2">
        <w:rPr>
          <w:rFonts w:ascii="Times New Roman" w:hAnsi="Times New Roman" w:cs="Times New Roman"/>
          <w:sz w:val="22"/>
        </w:rPr>
        <w:t xml:space="preserve">Kasuga deities. As befit a religious offering, </w:t>
      </w:r>
      <w:r w:rsidRPr="004371F2">
        <w:rPr>
          <w:rFonts w:ascii="Times New Roman" w:hAnsi="Times New Roman" w:cs="Times New Roman"/>
          <w:iCs/>
          <w:sz w:val="22"/>
        </w:rPr>
        <w:t>the scrolls were</w:t>
      </w:r>
      <w:r w:rsidRPr="004371F2">
        <w:rPr>
          <w:rFonts w:ascii="Times New Roman" w:hAnsi="Times New Roman" w:cs="Times New Roman"/>
          <w:i/>
          <w:iCs/>
          <w:sz w:val="22"/>
        </w:rPr>
        <w:t xml:space="preserve"> </w:t>
      </w:r>
      <w:r w:rsidRPr="004371F2">
        <w:rPr>
          <w:rFonts w:ascii="Times New Roman" w:hAnsi="Times New Roman" w:cs="Times New Roman"/>
          <w:sz w:val="22"/>
        </w:rPr>
        <w:t xml:space="preserve">painted on silk instead of paper. In addition, </w:t>
      </w:r>
      <w:r w:rsidRPr="004371F2">
        <w:rPr>
          <w:rFonts w:ascii="Times New Roman" w:hAnsi="Times New Roman" w:cs="Times New Roman"/>
          <w:iCs/>
          <w:sz w:val="22"/>
        </w:rPr>
        <w:t>the</w:t>
      </w:r>
      <w:r>
        <w:rPr>
          <w:rFonts w:ascii="Times New Roman" w:hAnsi="Times New Roman" w:cs="Times New Roman"/>
          <w:iCs/>
          <w:sz w:val="22"/>
        </w:rPr>
        <w:t>y</w:t>
      </w:r>
      <w:r w:rsidRPr="004371F2">
        <w:rPr>
          <w:rFonts w:ascii="Times New Roman" w:hAnsi="Times New Roman" w:cs="Times New Roman"/>
          <w:i/>
          <w:iCs/>
          <w:sz w:val="22"/>
        </w:rPr>
        <w:t xml:space="preserve"> </w:t>
      </w:r>
      <w:r w:rsidRPr="004371F2">
        <w:rPr>
          <w:rFonts w:ascii="Times New Roman" w:hAnsi="Times New Roman" w:cs="Times New Roman"/>
          <w:sz w:val="22"/>
        </w:rPr>
        <w:t xml:space="preserve">are exceptionally large </w:t>
      </w:r>
      <w:r>
        <w:rPr>
          <w:rFonts w:ascii="Times New Roman" w:hAnsi="Times New Roman" w:cs="Times New Roman"/>
          <w:sz w:val="22"/>
        </w:rPr>
        <w:t>and are</w:t>
      </w:r>
      <w:r w:rsidRPr="004371F2">
        <w:rPr>
          <w:rFonts w:ascii="Times New Roman" w:hAnsi="Times New Roman" w:cs="Times New Roman"/>
          <w:sz w:val="22"/>
        </w:rPr>
        <w:t xml:space="preserve"> difficult to unroll by hand. This was not an issue, however, as</w:t>
      </w:r>
      <w:r w:rsidRPr="004371F2">
        <w:rPr>
          <w:rFonts w:ascii="Times New Roman" w:hAnsi="Times New Roman" w:cs="Times New Roman"/>
          <w:i/>
          <w:iCs/>
          <w:sz w:val="22"/>
        </w:rPr>
        <w:t xml:space="preserve"> </w:t>
      </w:r>
      <w:r w:rsidRPr="004371F2">
        <w:rPr>
          <w:rFonts w:ascii="Times New Roman" w:hAnsi="Times New Roman" w:cs="Times New Roman"/>
          <w:sz w:val="22"/>
        </w:rPr>
        <w:t>the scrolls were dedicated to Kasuga Taisha and</w:t>
      </w:r>
      <w:r w:rsidRPr="004371F2">
        <w:rPr>
          <w:rFonts w:ascii="Times New Roman" w:hAnsi="Times New Roman" w:cs="Times New Roman"/>
          <w:i/>
          <w:iCs/>
          <w:sz w:val="22"/>
        </w:rPr>
        <w:t xml:space="preserve"> </w:t>
      </w:r>
      <w:r w:rsidRPr="004371F2">
        <w:rPr>
          <w:rFonts w:ascii="Times New Roman" w:hAnsi="Times New Roman" w:cs="Times New Roman"/>
          <w:sz w:val="22"/>
        </w:rPr>
        <w:t xml:space="preserve">were never meant to be </w:t>
      </w:r>
      <w:r>
        <w:rPr>
          <w:rFonts w:ascii="Times New Roman" w:hAnsi="Times New Roman" w:cs="Times New Roman"/>
          <w:sz w:val="22"/>
        </w:rPr>
        <w:t>read</w:t>
      </w:r>
      <w:r w:rsidRPr="004371F2">
        <w:rPr>
          <w:rFonts w:ascii="Times New Roman" w:hAnsi="Times New Roman" w:cs="Times New Roman"/>
          <w:sz w:val="22"/>
        </w:rPr>
        <w:t xml:space="preserve"> regularly.</w:t>
      </w:r>
    </w:p>
    <w:p w:rsidR="00D124F2" w:rsidRDefault="00D124F2" w:rsidP="00D124F2">
      <w:pPr>
        <w:jc w:val="left"/>
        <w:rPr>
          <w:rFonts w:ascii="Times New Roman" w:hAnsi="Times New Roman" w:cs="Times New Roman"/>
          <w:sz w:val="22"/>
        </w:rPr>
      </w:pPr>
      <w:r w:rsidRPr="004371F2">
        <w:rPr>
          <w:rFonts w:ascii="Times New Roman" w:hAnsi="Times New Roman" w:cs="Times New Roman"/>
          <w:sz w:val="22"/>
        </w:rPr>
        <w:tab/>
      </w:r>
      <w:bookmarkStart w:id="0" w:name="_Hlk145706826"/>
      <w:r w:rsidRPr="004371F2">
        <w:rPr>
          <w:rFonts w:ascii="Times New Roman" w:hAnsi="Times New Roman" w:cs="Times New Roman"/>
          <w:iCs/>
          <w:sz w:val="22"/>
        </w:rPr>
        <w:t>Since the</w:t>
      </w:r>
      <w:r w:rsidRPr="003571D4">
        <w:rPr>
          <w:rFonts w:ascii="Times New Roman" w:hAnsi="Times New Roman"/>
          <w:i/>
          <w:sz w:val="22"/>
        </w:rPr>
        <w:t xml:space="preserve"> </w:t>
      </w:r>
      <w:r w:rsidRPr="004371F2">
        <w:rPr>
          <w:rFonts w:ascii="Times New Roman" w:hAnsi="Times New Roman" w:cs="Times New Roman"/>
          <w:i/>
          <w:iCs/>
          <w:sz w:val="22"/>
        </w:rPr>
        <w:t xml:space="preserve">Kasuga Scrolls </w:t>
      </w:r>
      <w:r w:rsidRPr="004371F2">
        <w:rPr>
          <w:rFonts w:ascii="Times New Roman" w:hAnsi="Times New Roman" w:cs="Times New Roman"/>
          <w:iCs/>
          <w:sz w:val="22"/>
        </w:rPr>
        <w:t>were</w:t>
      </w:r>
      <w:r w:rsidRPr="004371F2">
        <w:rPr>
          <w:rFonts w:ascii="Times New Roman" w:hAnsi="Times New Roman" w:cs="Times New Roman"/>
          <w:sz w:val="22"/>
        </w:rPr>
        <w:t xml:space="preserve"> rarely opened, they are remarkably well preserved, retaining their original vivid colors. Takakane’s</w:t>
      </w:r>
      <w:r w:rsidRPr="00885C6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paintings</w:t>
      </w:r>
      <w:r w:rsidRPr="004371F2">
        <w:rPr>
          <w:rFonts w:ascii="Times New Roman" w:hAnsi="Times New Roman" w:cs="Times New Roman"/>
          <w:sz w:val="22"/>
        </w:rPr>
        <w:t xml:space="preserve"> are lauded for their remarkable detail </w:t>
      </w:r>
      <w:r>
        <w:rPr>
          <w:rFonts w:ascii="Times New Roman" w:hAnsi="Times New Roman" w:cs="Times New Roman"/>
          <w:sz w:val="22"/>
        </w:rPr>
        <w:t xml:space="preserve">and </w:t>
      </w:r>
      <w:r w:rsidRPr="004371F2">
        <w:rPr>
          <w:rFonts w:ascii="Times New Roman" w:hAnsi="Times New Roman" w:cs="Times New Roman"/>
          <w:sz w:val="22"/>
        </w:rPr>
        <w:t>faithful rendering of architecture.</w:t>
      </w:r>
      <w:r w:rsidRPr="009E79B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From </w:t>
      </w:r>
      <w:r w:rsidRPr="009E79B5">
        <w:rPr>
          <w:rFonts w:ascii="Times New Roman" w:hAnsi="Times New Roman" w:cs="Times New Roman"/>
          <w:sz w:val="22"/>
        </w:rPr>
        <w:t>light snow dusting autumn forests at the turn of the season</w:t>
      </w:r>
      <w:r>
        <w:rPr>
          <w:rFonts w:ascii="Times New Roman" w:hAnsi="Times New Roman" w:cs="Times New Roman"/>
          <w:sz w:val="22"/>
        </w:rPr>
        <w:t xml:space="preserve"> to a</w:t>
      </w:r>
      <w:r w:rsidRPr="009E79B5">
        <w:rPr>
          <w:rFonts w:ascii="Times New Roman" w:hAnsi="Times New Roman" w:cs="Times New Roman"/>
          <w:sz w:val="22"/>
        </w:rPr>
        <w:t xml:space="preserve"> humorous depiction of</w:t>
      </w:r>
      <w:r>
        <w:rPr>
          <w:rFonts w:ascii="Times New Roman" w:hAnsi="Times New Roman" w:cs="Times New Roman"/>
          <w:sz w:val="22"/>
        </w:rPr>
        <w:t xml:space="preserve"> a</w:t>
      </w:r>
      <w:r w:rsidRPr="009E79B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man</w:t>
      </w:r>
      <w:r w:rsidRPr="009E79B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tossing</w:t>
      </w:r>
      <w:r w:rsidRPr="009E79B5">
        <w:rPr>
          <w:rFonts w:ascii="Times New Roman" w:hAnsi="Times New Roman" w:cs="Times New Roman"/>
          <w:sz w:val="22"/>
        </w:rPr>
        <w:t xml:space="preserve"> out foul-tasting food</w:t>
      </w:r>
      <w:r>
        <w:rPr>
          <w:rFonts w:ascii="Times New Roman" w:hAnsi="Times New Roman" w:cs="Times New Roman"/>
          <w:sz w:val="22"/>
        </w:rPr>
        <w:t xml:space="preserve">, the scrolls reveal charming surprises and </w:t>
      </w:r>
      <w:r w:rsidRPr="004371F2">
        <w:rPr>
          <w:rFonts w:ascii="Times New Roman" w:hAnsi="Times New Roman" w:cs="Times New Roman"/>
          <w:sz w:val="22"/>
        </w:rPr>
        <w:t>a reverence for the commonplace minutiae of life.</w:t>
      </w:r>
      <w:bookmarkEnd w:id="0"/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F2"/>
    <w:rsid w:val="00346BD8"/>
    <w:rsid w:val="00562B2A"/>
    <w:rsid w:val="00BD54C2"/>
    <w:rsid w:val="00D124F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46EC4-3D61-4AB4-870C-925D6F0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24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24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24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24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24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24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24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24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24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24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24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2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4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2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4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24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2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24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2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2024-07-05T15:42:00Z</dcterms:created>
  <dcterms:modified xsi:type="dcterms:W3CDTF">2024-07-05T15:42:00Z</dcterms:modified>
</cp:coreProperties>
</file>