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63E" w:rsidRDefault="000D563E" w:rsidP="000D563E">
      <w:pPr>
        <w:jc w:val="both"/>
        <w:rPr>
          <w:rFonts w:eastAsia="Source Han Sans CN Normal"/>
          <w:b/>
          <w:bCs/>
          <w:color w:val="000000" w:themeColor="text1"/>
        </w:rPr>
      </w:pPr>
      <w:r>
        <w:rPr>
          <w:b/>
        </w:rPr>
        <w:t>岐阜城历代城主：7 织田信忠</w:t>
      </w:r>
    </w:p>
    <w:p w:rsidR="000D563E" w:rsidRPr="00F84883" w:rsidRDefault="000D563E" w:rsidP="000D563E">
      <w:pPr>
        <w:jc w:val="both"/>
        <w:rPr>
          <w:rFonts w:eastAsia="Source Han Sans CN Normal"/>
          <w:b/>
          <w:bCs/>
          <w:color w:val="000000" w:themeColor="text1"/>
        </w:rPr>
      </w:pPr>
      <w:r/>
    </w:p>
    <w:p w:rsidR="000D563E" w:rsidRPr="00F84883" w:rsidRDefault="000D563E" w:rsidP="000D563E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织田信忠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(1557-1582)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是织田信长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(1534-1582)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的长子，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从父亲手中继承了岐阜城，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1576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年至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1582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坐镇城郭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</w:p>
    <w:p w:rsidR="000D563E" w:rsidRPr="00F84883" w:rsidRDefault="000D563E" w:rsidP="000D563E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织田信忠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曾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跟随父亲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参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加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过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许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多重要的战役，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战略战术水平不断得到提升。他也曾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独立率军指挥过多场战斗，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且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在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1575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年的岩村城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之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战中击败了强敌武田家族。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之后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，织田信忠还先后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在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信贵山城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之战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（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1577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年）和高远城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之战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（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1582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年）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中亲自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指挥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包围了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武田家族。</w:t>
      </w:r>
    </w:p>
    <w:p w:rsidR="000D563E" w:rsidRPr="00F84883" w:rsidRDefault="000D563E" w:rsidP="000D563E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根据织田和武田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两大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家族的和平约定，织田信忠与武田信玄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(1521-1573)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的女儿松姬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156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7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年定下婚约。然而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仅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在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时隔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5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年之后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1572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年，这份和平协议就被武田信玄撕毁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，他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率军入侵三河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，并打败了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织田信长的同盟者德川家康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(1543-1616)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8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2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年，织田信长在京都本能寺遭遇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重臣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明智光秀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(1528-1582)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背叛，遇袭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后自尽身亡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。织田信长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死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后，明智光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秀率军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立刻转头袭击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驻扎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在二条新御所的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其子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织田信忠。织田信忠身陷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明智光秀的大军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包围，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当场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自尽。和父亲一样，他的头颅也下落不明。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3E"/>
    <w:rsid w:val="000D563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2D9DDF-4025-4D8A-9DDF-31B0A00C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6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6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6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6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6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6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6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6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56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56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5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5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5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5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5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56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5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5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5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5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6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56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5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56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563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D56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D563E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2025-08-29T14:10:00Z</dcterms:created>
  <dcterms:modified xsi:type="dcterms:W3CDTF">2025-08-29T14:10:00Z</dcterms:modified>
</cp:coreProperties>
</file>