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0C2" w:rsidRPr="009D2833" w:rsidRDefault="001920C2" w:rsidP="001920C2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沖之島的地形</w:t>
      </w:r>
    </w:p>
    <w:p/>
    <w:p w:rsidR="001920C2" w:rsidRPr="009D2833" w:rsidRDefault="001920C2" w:rsidP="001920C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沖之島距離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九州本島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海岸約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60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公里，是一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座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地形崎嶇、亂礁環繞的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小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島。即使在九州本島和大島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的最佳觀景點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遠眺，也很難清楚看到這座聖島。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方圓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97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萬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平方公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尺的整座島嶼都是山地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，上面覆蓋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著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茂密森林，最高點海拔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243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公尺。船隻唯一可以安全靠岸的地方是建在島南側的一個小碼頭，水泥消波塊與天然海灘可以抵禦洶湧的海浪。島上亂石嶙峋卻有淡水泉眼，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曾經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來回於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日本與朝鮮半島之間的航海員的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重要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停靠點。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2"/>
    <w:rsid w:val="001920C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CE96CD-B2C5-436A-B245-67D4A5FA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0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0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0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0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0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0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0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0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0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0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0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0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0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0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