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CCC" w:rsidRPr="00522B7C" w:rsidRDefault="00EE0CCC" w:rsidP="00304530">
      <w:pPr>
        <w:wordWrap w:val="0"/>
        <w:snapToGrid w:val="0"/>
        <w:spacing w:before="75" w:after="75"/>
        <w:ind w:right="74"/>
        <w:rPr>
          <w:rFonts w:ascii="Meiryo UI" w:eastAsia="Meiryo UI" w:hAnsi="Meiryo UI"/>
          <w:b/>
          <w:bCs/>
          <w:sz w:val="21"/>
          <w:szCs w:val="21"/>
        </w:rPr>
      </w:pPr>
      <w:r>
        <w:rPr>
          <w:b/>
        </w:rPr>
        <w:t>일본식과 서양식이 융합된 교회당</w:t>
      </w:r>
    </w:p>
    <w:p/>
    <w:p w:rsidR="00EE0CCC" w:rsidRPr="00522B7C" w:rsidRDefault="00EE0CCC"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초기의 교회당은 유럽인 선교사들의 지도에 따라 일본 목공들이 지은 간소한 건물이었다. 그러나 얼마 지나지 않아 일본인 목공들이 교회당을 지을 수 있는 충분한 지식과 경험을 얻게 되면서, 자신의 기술과 지역 주민들의 협력을 통해 일본과 서양의 기술과 재료를 조합한 소박하면서도 훌륭한 교회당을 지을 수 있게 되었다. 교회당의 외관은 유럽의 양식과 디자인을 기조로 삼고 있으며, 내부는 일본 전통 민가 건축의 특색을 살려 일본의 관습에 맞게끔 설계되었다. 예를 들어, 이곳을 찾는 사람들은 입구에서 신발을 벗고 마룻바닥이나 다다미에 앉아서 기도를 올렸다.</w:t>
      </w:r>
      <w:r w:rsidRPr="00522B7C">
        <w:rPr>
          <w:rFonts w:ascii="Batang" w:eastAsia="Batang" w:hAnsi="Batang" w:cs="Batang"/>
          <w:sz w:val="21"/>
          <w:lang w:val="ko-KR" w:bidi="ko-KR"/>
        </w:rPr>
        <w:br/>
      </w:r>
    </w:p>
    <w:p w:rsidR="00EE0CCC" w:rsidRPr="00522B7C" w:rsidRDefault="00EE0CCC" w:rsidP="00304530">
      <w:pPr>
        <w:wordWrap w:val="0"/>
        <w:snapToGrid w:val="0"/>
        <w:spacing w:before="75" w:after="75"/>
        <w:ind w:right="74" w:firstLine="210"/>
        <w:rPr>
          <w:rFonts w:ascii="Meiryo UI" w:eastAsia="Meiryo UI" w:hAnsi="Meiryo UI" w:cs="ＭＳ 明朝"/>
          <w:sz w:val="21"/>
          <w:szCs w:val="21"/>
        </w:rPr>
      </w:pPr>
      <w:r w:rsidRPr="00522B7C">
        <w:rPr>
          <w:rFonts w:ascii="Batang" w:eastAsia="Batang" w:hAnsi="Batang" w:cs="Batang"/>
          <w:sz w:val="21"/>
          <w:lang w:val="ko-KR" w:bidi="ko-KR"/>
        </w:rPr>
        <w:t>잠복 기리시탄의 대부분이 가톨릭으로 복귀하는 한편, 잠복기에 계승해왔던 독자적인 신앙 의례를 지키는 사람들도 있었다. ‘가쿠레 기리시탄’이라고 불리는 이들은 지금도 나가사키 지방에서 찾아볼 수 있다.</w:t>
      </w:r>
      <w:r w:rsidRPr="00522B7C">
        <w:rPr>
          <w:rFonts w:ascii="Batang" w:eastAsia="Batang" w:hAnsi="Batang" w:cs="Batang"/>
          <w:sz w:val="21"/>
          <w:lang w:val="ko-KR" w:bidi="ko-KR"/>
        </w:rPr>
        <w:br/>
      </w:r>
    </w:p>
    <w:p w:rsidR="00EE0CCC" w:rsidRPr="00522B7C" w:rsidRDefault="00EE0CCC" w:rsidP="00304530">
      <w:pPr>
        <w:wordWrap w:val="0"/>
        <w:snapToGrid w:val="0"/>
        <w:spacing w:before="75" w:after="75"/>
        <w:ind w:right="74"/>
        <w:rPr>
          <w:rFonts w:ascii="Meiryo UI" w:eastAsia="Meiryo UI" w:hAnsi="Meiryo UI"/>
          <w:sz w:val="21"/>
          <w:szCs w:val="21"/>
        </w:rPr>
      </w:pPr>
      <w:r w:rsidRPr="00522B7C">
        <w:rPr>
          <w:rFonts w:ascii="Batang" w:eastAsia="Batang" w:hAnsi="Batang" w:cs="Batang"/>
          <w:sz w:val="21"/>
          <w:lang w:val="ko-KR" w:bidi="ko-KR"/>
        </w:rPr>
        <w:t>연표</w:t>
      </w:r>
    </w:p>
    <w:tbl>
      <w:tblPr>
        <w:tblW w:w="5053" w:type="dxa"/>
        <w:tblLayout w:type="fixed"/>
        <w:tblCellMar>
          <w:top w:w="15" w:type="dxa"/>
          <w:left w:w="15" w:type="dxa"/>
          <w:bottom w:w="15" w:type="dxa"/>
          <w:right w:w="15" w:type="dxa"/>
        </w:tblCellMar>
        <w:tblLook w:val="04A0" w:firstRow="1" w:lastRow="0" w:firstColumn="1" w:lastColumn="0" w:noHBand="0" w:noVBand="1"/>
      </w:tblPr>
      <w:tblGrid>
        <w:gridCol w:w="577"/>
        <w:gridCol w:w="4476"/>
      </w:tblGrid>
      <w:tr w:rsidR="00EE0CCC" w:rsidRPr="00522B7C">
        <w:tc>
          <w:tcPr>
            <w:tcW w:w="577" w:type="dxa"/>
            <w:vAlign w:val="center"/>
          </w:tcPr>
          <w:p w:rsidR="00EE0CCC" w:rsidRPr="00522B7C" w:rsidRDefault="00EE0CCC"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1854</w:t>
            </w:r>
          </w:p>
        </w:tc>
        <w:tc>
          <w:tcPr>
            <w:tcW w:w="4475" w:type="dxa"/>
            <w:vAlign w:val="center"/>
          </w:tcPr>
          <w:p w:rsidR="00EE0CCC" w:rsidRPr="00522B7C" w:rsidRDefault="00EE0CCC"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미일친화조약 체결. 무역을 위해 개국을 약속함</w:t>
            </w:r>
          </w:p>
        </w:tc>
      </w:tr>
      <w:tr w:rsidR="00EE0CCC" w:rsidRPr="00522B7C">
        <w:tc>
          <w:tcPr>
            <w:tcW w:w="577" w:type="dxa"/>
            <w:vAlign w:val="center"/>
          </w:tcPr>
          <w:p w:rsidR="00EE0CCC" w:rsidRPr="00522B7C" w:rsidRDefault="00EE0CCC"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1858</w:t>
            </w:r>
          </w:p>
        </w:tc>
        <w:tc>
          <w:tcPr>
            <w:tcW w:w="4475" w:type="dxa"/>
            <w:vAlign w:val="center"/>
          </w:tcPr>
          <w:p w:rsidR="00EE0CCC" w:rsidRPr="00522B7C" w:rsidRDefault="00EE0CCC"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미일수호통상조약 체결</w:t>
            </w:r>
          </w:p>
        </w:tc>
      </w:tr>
      <w:tr w:rsidR="00EE0CCC" w:rsidRPr="00522B7C">
        <w:tc>
          <w:tcPr>
            <w:tcW w:w="577" w:type="dxa"/>
            <w:vAlign w:val="center"/>
          </w:tcPr>
          <w:p w:rsidR="00EE0CCC" w:rsidRPr="00522B7C" w:rsidRDefault="00EE0CCC"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1865</w:t>
            </w:r>
          </w:p>
        </w:tc>
        <w:tc>
          <w:tcPr>
            <w:tcW w:w="4475" w:type="dxa"/>
            <w:vAlign w:val="center"/>
          </w:tcPr>
          <w:p w:rsidR="00EE0CCC" w:rsidRPr="00522B7C" w:rsidRDefault="00EE0CCC"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오우라 천주당 헌당</w:t>
            </w:r>
          </w:p>
        </w:tc>
      </w:tr>
      <w:tr w:rsidR="00EE0CCC" w:rsidRPr="00522B7C">
        <w:tc>
          <w:tcPr>
            <w:tcW w:w="577" w:type="dxa"/>
            <w:vAlign w:val="center"/>
          </w:tcPr>
          <w:p w:rsidR="00EE0CCC" w:rsidRPr="00522B7C" w:rsidRDefault="00EE0CCC"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1865</w:t>
            </w:r>
          </w:p>
        </w:tc>
        <w:tc>
          <w:tcPr>
            <w:tcW w:w="4475" w:type="dxa"/>
            <w:vAlign w:val="center"/>
          </w:tcPr>
          <w:p w:rsidR="00EE0CCC" w:rsidRPr="00522B7C" w:rsidRDefault="00EE0CCC"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신자 발견</w:t>
            </w:r>
          </w:p>
        </w:tc>
      </w:tr>
      <w:tr w:rsidR="00EE0CCC" w:rsidRPr="00522B7C">
        <w:tc>
          <w:tcPr>
            <w:tcW w:w="577" w:type="dxa"/>
            <w:vAlign w:val="center"/>
          </w:tcPr>
          <w:p w:rsidR="00EE0CCC" w:rsidRPr="00522B7C" w:rsidRDefault="00EE0CCC"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1867</w:t>
            </w:r>
          </w:p>
        </w:tc>
        <w:tc>
          <w:tcPr>
            <w:tcW w:w="4475" w:type="dxa"/>
            <w:vAlign w:val="center"/>
          </w:tcPr>
          <w:p w:rsidR="00EE0CCC" w:rsidRPr="00522B7C" w:rsidRDefault="00EE0CCC"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우라카미 요반쿠즈레</w:t>
            </w:r>
          </w:p>
        </w:tc>
      </w:tr>
      <w:tr w:rsidR="00EE0CCC" w:rsidRPr="00522B7C">
        <w:tc>
          <w:tcPr>
            <w:tcW w:w="577" w:type="dxa"/>
            <w:vAlign w:val="center"/>
          </w:tcPr>
          <w:p w:rsidR="00EE0CCC" w:rsidRPr="00522B7C" w:rsidRDefault="00EE0CCC" w:rsidP="00304530">
            <w:pPr>
              <w:wordWrap w:val="0"/>
              <w:snapToGrid w:val="0"/>
              <w:rPr>
                <w:rFonts w:ascii="Meiryo UI" w:eastAsia="Meiryo UI" w:hAnsi="Meiryo UI"/>
                <w:b/>
                <w:bCs/>
                <w:sz w:val="21"/>
                <w:szCs w:val="21"/>
              </w:rPr>
            </w:pPr>
            <w:r w:rsidRPr="00522B7C">
              <w:rPr>
                <w:rFonts w:ascii="Batang" w:eastAsia="Batang" w:hAnsi="Batang" w:cs="Batang"/>
                <w:b/>
                <w:sz w:val="21"/>
                <w:lang w:val="ko-KR" w:bidi="ko-KR"/>
              </w:rPr>
              <w:t>1873</w:t>
            </w:r>
          </w:p>
        </w:tc>
        <w:tc>
          <w:tcPr>
            <w:tcW w:w="4475" w:type="dxa"/>
            <w:vAlign w:val="center"/>
          </w:tcPr>
          <w:p w:rsidR="00EE0CCC" w:rsidRPr="00522B7C" w:rsidRDefault="00EE0CCC" w:rsidP="00304530">
            <w:pPr>
              <w:wordWrap w:val="0"/>
              <w:snapToGrid w:val="0"/>
              <w:rPr>
                <w:rFonts w:ascii="Meiryo UI" w:eastAsia="Meiryo UI" w:hAnsi="Meiryo UI"/>
                <w:sz w:val="21"/>
                <w:szCs w:val="21"/>
              </w:rPr>
            </w:pPr>
            <w:r w:rsidRPr="00522B7C">
              <w:rPr>
                <w:rFonts w:ascii="Batang" w:eastAsia="Batang" w:hAnsi="Batang" w:cs="Batang"/>
                <w:sz w:val="21"/>
                <w:lang w:val="ko-KR" w:bidi="ko-KR"/>
              </w:rPr>
              <w:t>메이지 정부가 그리스도교 금교령을 철폐</w:t>
            </w:r>
          </w:p>
        </w:tc>
      </w:tr>
    </w:tbl>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CC"/>
    <w:rsid w:val="001A5971"/>
    <w:rsid w:val="00625A2B"/>
    <w:rsid w:val="00C41D39"/>
    <w:rsid w:val="00EE0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8B54DD-856E-49FD-BEAA-585C8FA4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0C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E0C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E0C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E0C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E0C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E0C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E0C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E0C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E0C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0C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0C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0C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E0C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0C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0C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0C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0C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0C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0C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E0C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0C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E0C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0CCC"/>
    <w:pPr>
      <w:spacing w:before="160"/>
      <w:jc w:val="center"/>
    </w:pPr>
    <w:rPr>
      <w:i/>
      <w:iCs/>
      <w:color w:val="404040" w:themeColor="text1" w:themeTint="BF"/>
    </w:rPr>
  </w:style>
  <w:style w:type="character" w:customStyle="1" w:styleId="a8">
    <w:name w:val="引用文 (文字)"/>
    <w:basedOn w:val="a0"/>
    <w:link w:val="a7"/>
    <w:uiPriority w:val="29"/>
    <w:rsid w:val="00EE0CCC"/>
    <w:rPr>
      <w:i/>
      <w:iCs/>
      <w:color w:val="404040" w:themeColor="text1" w:themeTint="BF"/>
    </w:rPr>
  </w:style>
  <w:style w:type="paragraph" w:styleId="a9">
    <w:name w:val="List Paragraph"/>
    <w:basedOn w:val="a"/>
    <w:uiPriority w:val="34"/>
    <w:qFormat/>
    <w:rsid w:val="00EE0CCC"/>
    <w:pPr>
      <w:ind w:left="720"/>
      <w:contextualSpacing/>
    </w:pPr>
  </w:style>
  <w:style w:type="character" w:styleId="21">
    <w:name w:val="Intense Emphasis"/>
    <w:basedOn w:val="a0"/>
    <w:uiPriority w:val="21"/>
    <w:qFormat/>
    <w:rsid w:val="00EE0CCC"/>
    <w:rPr>
      <w:i/>
      <w:iCs/>
      <w:color w:val="0F4761" w:themeColor="accent1" w:themeShade="BF"/>
    </w:rPr>
  </w:style>
  <w:style w:type="paragraph" w:styleId="22">
    <w:name w:val="Intense Quote"/>
    <w:basedOn w:val="a"/>
    <w:next w:val="a"/>
    <w:link w:val="23"/>
    <w:uiPriority w:val="30"/>
    <w:qFormat/>
    <w:rsid w:val="00EE0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E0CCC"/>
    <w:rPr>
      <w:i/>
      <w:iCs/>
      <w:color w:val="0F4761" w:themeColor="accent1" w:themeShade="BF"/>
    </w:rPr>
  </w:style>
  <w:style w:type="character" w:styleId="24">
    <w:name w:val="Intense Reference"/>
    <w:basedOn w:val="a0"/>
    <w:uiPriority w:val="32"/>
    <w:qFormat/>
    <w:rsid w:val="00EE0C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2025-08-29T14:50:00Z</dcterms:created>
  <dcterms:modified xsi:type="dcterms:W3CDTF">2025-08-29T14:50:00Z</dcterms:modified>
</cp:coreProperties>
</file>