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B6A" w:rsidRPr="00FF331B" w:rsidRDefault="00500B6A" w:rsidP="00500B6A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三鈷寺</w:t>
      </w:r>
    </w:p>
    <w:p/>
    <w:p w:rsidR="00500B6A" w:rsidRPr="00FF331B" w:rsidRDefault="00500B6A" w:rsidP="00500B6A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三鈷寺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座落在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鴨瀨山山坡上，以能俯瞰京都盆地的風景聞名，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被譽為「關西第一遠眺景點」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從本堂（正殿）望去，前方是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比叡山、東山群峰與京都市區</w:t>
      </w:r>
      <w:bookmarkStart w:id="0" w:name="_Hlk174639412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左側是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北山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，右側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可見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南部的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宇治市和木津川市。當秋天來臨之時，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滿山紅葉似火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，前來觀賞的遊客更是絡繹不絕。另外，三鈷寺就在善峯寺旁，兩處可一併遊覽。</w:t>
      </w:r>
    </w:p>
    <w:p w:rsidR="00500B6A" w:rsidRPr="00FF331B" w:rsidRDefault="00500B6A" w:rsidP="00500B6A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500B6A" w:rsidRPr="00FF331B" w:rsidRDefault="00500B6A" w:rsidP="00500B6A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兼容並蓄的佛教教義傳播中心</w:t>
      </w:r>
    </w:p>
    <w:p w:rsidR="00500B6A" w:rsidRPr="00FF331B" w:rsidRDefault="00500B6A" w:rsidP="00500B6A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1074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</w:t>
      </w:r>
      <w:r w:rsidRPr="00FF331B">
        <w:rPr>
          <w:rFonts w:eastAsia="Source Han Sans CN Normal"/>
          <w:bCs/>
          <w:color w:val="000000" w:themeColor="text1"/>
          <w:szCs w:val="22"/>
          <w:lang w:eastAsia="zh-TW"/>
        </w:rPr>
        <w:t>日本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TW"/>
        </w:rPr>
        <w:t>佛教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天台宗僧人源算上人（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983-1099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在此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建造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一座寺廟，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並為其取名「北尾往生院」，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也就是三鈷寺的前身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1213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年，日本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佛教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淨土宗西山三派創始人證空（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1177-1247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；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諡號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西山國師）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把這裡當做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念佛道場（不斷唸誦阿彌陀佛的名號）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後，寺廟再度興盛。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由於寺廟後面的群山看起來形似三鈷杵，證空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便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將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寺廟改名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為「三鈷寺」。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1951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年，三鈷寺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從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天台宗獨立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出來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並成為西山宗的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主要傳遞教義基地，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接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納並傳授日本天台、真言、律、淨土四宗教義。</w:t>
      </w:r>
    </w:p>
    <w:p w:rsidR="00500B6A" w:rsidRPr="00FF331B" w:rsidRDefault="00500B6A" w:rsidP="00500B6A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500B6A" w:rsidRPr="00FF331B" w:rsidRDefault="00500B6A" w:rsidP="00500B6A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和寺內珍寶</w:t>
      </w:r>
    </w:p>
    <w:p w:rsidR="00500B6A" w:rsidRPr="00FF331B" w:rsidRDefault="00500B6A" w:rsidP="00500B6A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寺廟本堂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原本供奉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一幅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佛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眼曼荼羅」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畫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自本堂在現址上重建後無法安放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，目前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的本尊是一尊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不動明王金像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之前，這尊不動明王金像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就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立於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佛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眼曼荼羅前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殿內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還有安放在刻有三鈷杵圖案的台座上的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阿彌陀如來像、聖德太子</w:t>
      </w:r>
      <w:bookmarkStart w:id="1" w:name="_Hlk172814191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（</w:t>
      </w:r>
      <w:bookmarkEnd w:id="1"/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574-622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）像、源算上人像，以及真言宗開山祖師空海（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774-835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；諡號弘法大師）像。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本堂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右側華台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堂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裡高台上供奉一尊源算上人像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高台內藏有一座供養源算上人與其弟子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兼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詩人</w:t>
      </w:r>
      <w:r w:rsidRPr="00FF331B">
        <w:rPr>
          <w:rFonts w:eastAsia="Source Han Sans TW Normal" w:hint="eastAsia"/>
          <w:bCs/>
          <w:color w:val="000000" w:themeColor="text1"/>
          <w:szCs w:val="22"/>
          <w:lang w:eastAsia="zh-TW"/>
        </w:rPr>
        <w:t>宇都宮蓮生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（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1178-1259</w:t>
      </w:r>
      <w:r w:rsidRPr="00FF331B">
        <w:rPr>
          <w:rFonts w:eastAsia="Source Han Sans TW Normal"/>
          <w:bCs/>
          <w:color w:val="000000" w:themeColor="text1"/>
          <w:szCs w:val="22"/>
          <w:lang w:eastAsia="zh-TW"/>
        </w:rPr>
        <w:t>）的石塔。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A"/>
    <w:rsid w:val="001A5971"/>
    <w:rsid w:val="00500B6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854CA4-05C3-44FD-9145-1F76B38F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B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B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B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B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B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B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B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0B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0B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0B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0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0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0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0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0B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0B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0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0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0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B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0B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0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0B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0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