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乙訓寺</w:t>
      </w:r>
    </w:p>
    <w:p/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PMingLiU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位處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長岡京市的乙訓寺以色彩繽紛的牡丹聞名。乙訓寺屬日本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真言宗寺廟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寺內供奉幾尊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十分值得一看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的神明，包括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不同尋常的本尊和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神情獨特的守護神毗沙門天像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（毗，音同「皮」）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這座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歷史悠久的寺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天皇遷都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京都前後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發生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幾件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事件密切相關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牡丹寺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乙訓寺內種植約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000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株香氣濃郁的大型牡丹，雍容華貴、奼紫嫣紅。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1940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年，為振興颱風風災後的乙訓寺，奈良縣日本真言宗總本山長谷寺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向其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了一批牡丹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現今，山門後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參拜道路兩側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牡丹成行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，院內與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也布置了許多牡丹花壇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。每年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月牡丹盛開時節，寺裡粉色、紫色、黃色與白色等各色牡丹齊相爭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早期歷史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根據傳說，乙訓寺的歷史可以追溯至聖德太子（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574-622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）在當地建造的寺院。聖德太子是日本佛教傳播史上的重要人物。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784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年，日本首都從平城京（今奈良）遷至長岡京，桓武天皇（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737-806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）對乙訓寺進行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大規模擴建。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遷都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次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年，負責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主管遷都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的朝臣藤原種繼（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737-785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）遭暗殺。經過調查，天皇的弟弟早良親王（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750?-785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因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與反對遷都勢力來往密切，成為嫌疑對象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早良親王因此被幽禁於乙訓寺，隨後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流放，最後在流放途中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離奇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死亡。此後，長岡京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屢遭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乾旱、飢荒等災害，皇室成員也接連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去世。人們將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這些不幸歸咎於早良親王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不散的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怨</w:t>
      </w:r>
      <w:r w:rsidRPr="00FF331B">
        <w:rPr>
          <w:rFonts w:eastAsia="Source Han Sans TW Normal" w:hint="eastAsia"/>
          <w:bCs/>
          <w:color w:val="000000" w:themeColor="text1"/>
          <w:lang w:eastAsia="zh-TW"/>
        </w:rPr>
        <w:t>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。結果在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794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長岡京成為首都的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0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年後，桓武天皇又將首都遷往平安京（今京都）。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F794E" w:rsidRPr="00FF331B" w:rsidRDefault="009F794E" w:rsidP="009F794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佛學大師空海與最澄</w:t>
      </w:r>
    </w:p>
    <w:p w:rsidR="009F794E" w:rsidRPr="00FF331B" w:rsidRDefault="009F794E" w:rsidP="009F794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811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年，乙訓寺迎來了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著名的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日本真言宗開山祖師空海（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為其主持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。據乙訓寺記載，空海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雕刻八幡大神（大菩薩）木像時，突有幻化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為老人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的八幡大神現身在空海眼前，與空海一同雕刻。八幡大神以空海為原型雕刻身體，空海則以八幡大神為原型雕刻頭部，兩人一同完成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這尊佛像。這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珍貴的雕像被稱為「八幡弘法合體大師」，為目前乙訓寺供奉的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，每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33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年才會對外開放一次。</w:t>
      </w:r>
    </w:p>
    <w:p w:rsidR="009F794E" w:rsidRPr="00FF331B" w:rsidRDefault="009F794E" w:rsidP="009F794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812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年，空海與日本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天台宗祖師最澄（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767-822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；諡號傳教大師）相會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乙訓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。最澄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希望更深度地了解密宗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於是在這次交流中，空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傳授了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最澄一些密宗佛教秘法並施灌頂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法。</w:t>
      </w:r>
    </w:p>
    <w:p w:rsidR="009F794E" w:rsidRPr="00FF331B" w:rsidRDefault="009F794E" w:rsidP="009F794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9F794E" w:rsidRPr="00FF331B" w:rsidRDefault="009F794E" w:rsidP="009F794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9F794E" w:rsidRPr="00FF331B" w:rsidRDefault="009F794E" w:rsidP="009F794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拜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道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通往供奉日限地藏像的佛殿。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據說，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只要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設定參拜天數並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每天向地藏祈禱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，就能如願以償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。沿途還能看到一座石塔，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台座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四面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從上到下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整齊擺放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信眾供奉的地藏菩薩小石像。附近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有早良親王紀念塔與十三重石塔。寺院深處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供奉八幡弘法合體大師像的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，殿外有不動明王像矗立守護。毗沙門堂供奉的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毗沙門天像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容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帶著擔憂的表情，與一般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滿面忿怒的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毗沙門天像</w:t>
      </w:r>
      <w:hyperlink r:id="rId4" w:history="1">
        <w:r w:rsidRPr="00FF331B">
          <w:rPr>
            <w:rFonts w:eastAsia="Source Han Sans TW Normal"/>
            <w:bCs/>
            <w:color w:val="000000" w:themeColor="text1"/>
            <w:szCs w:val="22"/>
            <w:lang w:eastAsia="zh-TW"/>
          </w:rPr>
          <w:t>截然不同</w:t>
        </w:r>
      </w:hyperlink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。寺院西南角的鎮守八幡社裡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供奉著寺院守護神</w:t>
      </w:r>
      <w:r w:rsidRPr="00FF331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八幡大神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4E"/>
    <w:rsid w:val="001A5971"/>
    <w:rsid w:val="00625A2B"/>
    <w:rsid w:val="009F794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14563-0F10-4900-A25C-927592D5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9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79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79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79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79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7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7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7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9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79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7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79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7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.revised.moe.edu.tw/dictView.jsp?ID=9057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