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7877" w:rsidRPr="00CB7560" w:rsidRDefault="002D7877" w:rsidP="002D787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勝龍寺城公園</w:t>
      </w:r>
    </w:p>
    <w:p/>
    <w:p w:rsidR="002D7877" w:rsidRPr="00CB7560" w:rsidRDefault="002D7877" w:rsidP="002D787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長岡京市勝龍寺城公園建在勝龍寺城遺址之上。這座城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郭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與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16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世紀日本重要歷史人物和事件密切相關。勝龍寺城為大名（大領主）細川忠興（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1563-1646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）與妻子細川</w:t>
      </w:r>
      <w:r w:rsidRPr="00CB7560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·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伽羅奢（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1563-1600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）的新婚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居所。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細川</w:t>
      </w:r>
      <w:r w:rsidRPr="00CB7560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·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伽羅奢是一名深受大眾熟知與喜愛的人物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，她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的戀愛故事、改信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基督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教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的事蹟與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她悲慘的結局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時常出現在小說、電影、電視劇或遊戲之中。公園四周被城牆和護城河環繞，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城牆上還設有瞭望塔。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公園內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有迴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遊式庭園和天守閣式建築，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建築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內部設有陳列館，遊客能在此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了解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勝龍寺城及其曾經的主人</w:t>
      </w:r>
      <w:bookmarkStart w:id="0" w:name="_Hlk174782314"/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bookmarkEnd w:id="0"/>
    </w:p>
    <w:p w:rsidR="002D7877" w:rsidRPr="00CB7560" w:rsidRDefault="002D7877" w:rsidP="002D787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2D7877" w:rsidRPr="00CB7560" w:rsidRDefault="002D7877" w:rsidP="002D787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勝龍寺城</w:t>
      </w:r>
    </w:p>
    <w:p w:rsidR="002D7877" w:rsidRPr="00CB7560" w:rsidRDefault="002D7877" w:rsidP="002D787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勝龍寺城取名自附近的勝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龍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寺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據說，勝龍寺城始建於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16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世紀中葉，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其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地理位置可保護重要水上貿易路線與京都西南邊境。勝龍寺城曾被三好家的家臣佔據，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1568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年被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梟雄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織田信長（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1534-1582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）攻下後轉封給他的家臣細川藤孝（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1534-1610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）。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1571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年，勝龍寺城經歷大規模的修整，石垣城牆、土瓦、天守閣設計均採用了當時最進步的建築工法。隨後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，這些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建築技術被織田信長採納，用於修建他自己宏偉的安土城。</w:t>
      </w:r>
    </w:p>
    <w:p w:rsidR="002D7877" w:rsidRPr="00CB7560" w:rsidRDefault="002D7877" w:rsidP="002D787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2D7877" w:rsidRPr="00CB7560" w:rsidRDefault="002D7877" w:rsidP="002D787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悲壯的愛情故事</w:t>
      </w:r>
    </w:p>
    <w:p w:rsidR="002D7877" w:rsidRPr="00CB7560" w:rsidRDefault="002D7877" w:rsidP="002D787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1578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年，細川藤孝長子細川忠興與織田信長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另一位家臣明智光秀（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1528-1582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）之女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阿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玉聯姻。婚禮儀式在勝龍寺城舉辦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這對新婚夫婦在此居住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兩年，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直至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細川忠興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被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任命為丹後國（今京都府北部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；「國」為日本舊行政區劃，有別於「國家」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）大名。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1582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年，明智光秀背叛了織田信長，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發動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「本能寺之變」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織田信長被殺，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阿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玉淪為叛將之女。大約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10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天後，繼承織田信長之位的豐臣秀吉（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1537-1598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）領兵在山崎與明智光秀的軍隊交戰，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一路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乘勝追擊至勝龍寺城。明智光秀從北門夜逃，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但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不久後被殺。</w:t>
      </w:r>
    </w:p>
    <w:p w:rsidR="002D7877" w:rsidRPr="00CB7560" w:rsidRDefault="002D7877" w:rsidP="002D787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細川忠興最初將妻子隱藏在一個小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聚落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裡，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但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豐臣秀吉迫使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他把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眷屬搬遷至大坂城（今大阪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城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）附近，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意在脅持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人質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、逼其保持忠心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細川忠興只能順從。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在大坂期間，明智玉秘密地改信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基督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教，改名「伽羅奢」（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Gracia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，或作格拉西亞）。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1600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年，豐臣秀吉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去世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兩年後，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他的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一位家臣為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阻止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細川家倒戈投靠德川家康（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1542-1616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），試圖扣押包括伽羅奢在內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家眷作為人質。按照當時傳統習俗，為避免丈夫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被人利用、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陷於兩難局面，武士妻子應自戕以顧全大局。但伽羅奢信仰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的基督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教教義認為自殺是一種罪孽，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她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只得借由家臣之手，結束了生命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家臣隨後放火焚毀宅邸，並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為她殉死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。細川</w:t>
      </w:r>
      <w:r w:rsidRPr="00CB7560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·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伽羅奢自此成為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一位既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迷人又充滿悲壯的歷史人物。</w:t>
      </w:r>
    </w:p>
    <w:p w:rsidR="002D7877" w:rsidRPr="00CB7560" w:rsidRDefault="002D7877" w:rsidP="002D787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2D7877" w:rsidRPr="00CB7560" w:rsidRDefault="002D7877" w:rsidP="002D7877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>
        <w:rPr/>
        <w:t>勝龍寺城公園</w:t>
      </w:r>
    </w:p>
    <w:p w:rsidR="002D7877" w:rsidRPr="00CB7560" w:rsidRDefault="002D7877" w:rsidP="002D7877">
      <w:pPr>
        <w:ind w:firstLineChars="250" w:firstLine="55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建於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16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世紀的勝龍寺城如今僅存北門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石垣城牆、土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壘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和部份護城河遺跡。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1992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年，此地建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立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公園，行政大樓的外觀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酷似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天守閣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環繞公園的新護城河兩側種滿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杜鵑，春天時綻放鮮紅的花朵。城牆內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有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錦鯉池、櫻花樹、楓樹、小竹林，以及勝龍寺城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曾經的主人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細川忠興和伽羅奢夫婦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雕像。行政大樓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2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樓設有展示室，陳列著當年城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郭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的圖紙、記載重要事件的圖解年表及出土文物。遊客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能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在此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觀看介紹細川</w:t>
      </w:r>
      <w:r w:rsidRPr="00CB7560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·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伽羅奢生平的影片（有英文字幕）。每年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11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月的第二個星期天，長岡京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會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舉辦熱鬧的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伽羅奢祭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」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，重現細川忠興和細川</w:t>
      </w:r>
      <w:r w:rsidRPr="00CB7560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·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伽羅奢前往勝龍寺城的婚禮儀仗。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77"/>
    <w:rsid w:val="001A5971"/>
    <w:rsid w:val="002D787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B0AD5C-668A-42DC-9960-1076B399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8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8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8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8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8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8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8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78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78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78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7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7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7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7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7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78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7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7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7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7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8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78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7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78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78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2025-08-29T16:01:00Z</dcterms:created>
  <dcterms:modified xsi:type="dcterms:W3CDTF">2025-08-29T16:01:00Z</dcterms:modified>
</cp:coreProperties>
</file>