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胜龙寺城公园</w:t>
      </w:r>
    </w:p>
    <w:p/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长冈京市的胜龙寺城公园建在胜龙寺城遗址之上。这座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城郭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世纪日本重要历史人物和事件关联密切。胜龙寺城是大名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（大领主）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细川忠兴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(1563-1646)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和妻子细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川·格拉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西亚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(1563-1600)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成婚时的居所。细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川·格拉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西亚是一位广受大众喜爱的女性，她的恋爱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故事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、改信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基督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教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事迹以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及悲剧结局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经常出现在小说、电视剧、电影甚至电竞游戏当中。建在城郭遗址之上的公园四周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被城墙和护城河环绕，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城墙上设有瞭望塔。公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园内有回游式庭园和天守阁式建筑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，建筑内还设有一个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陈列馆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来访者可以在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此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了解胜龙寺城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及其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曾经的主人。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胜龙寺城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胜龙寺城得名于附近的胜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龙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寺，据说始建于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世纪中叶，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依地利之便守护着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重要的水上贸易路线和京都西南边界。这座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城郭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一度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归属于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三好家族的家臣，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1568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年被枭雄织田信长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(1534-1582)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征服后，封给了他的家臣细川藤孝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(1534-1610)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1571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年，胜龙寺城经历了大规模的修整，其石垣城墙、土瓦、天守阁的设计均采用了当时最先进的建筑技术。这些技术后来又被织田信长采纳，用于修建宏伟的安土城。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爱情与悲剧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1578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年，细川藤孝的长子细川忠兴与织田信长的另一位家臣明智光秀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(1528-1582)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之女阿玉联姻。婚礼在胜龙寺城举行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夫妇俩在那里住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，直到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细川忠兴被任命为丹后国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今京都府北部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；“国”为日本旧行政区划，有别于“国家”）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大名。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1582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年，明智光秀背叛织田信长，发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动“本能寺之变”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。织田信长被杀，阿玉也沦为叛将之女。大约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天后，织田信长的继任者丰臣秀吉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(1537-1598)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率军在山崎与明智光秀军交战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乘胜一路追击到胜龙寺城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明智光秀从北门夜遁，但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不久便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被杀。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细川忠兴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最初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将妻子藏在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一个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村庄里，但当时丰臣秀吉命令他把家属迁移至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大坂城（今大阪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）附近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，意在挟持人质、逼其保持忠心。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细川忠兴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只能顺从。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在大坂期间，阿玉秘密改信了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基督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教，并被赐予格拉西亚之名。丰臣秀吉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去世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后两年，也就是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1600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年，他的一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家臣为阻止细川家族倒戈投靠敌将德川家康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(1542-1616)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，想要将格拉西亚等人扣为人质。按照当时习俗，武士之妻不可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陷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丈夫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于不利之地，此时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应该自戕。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格拉西亚信仰的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基督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教认为自杀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亦是一种罪孽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最终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只能借丈夫家臣之手结束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生命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家臣随后放火烧了宅邸，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并追随她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自杀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而死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细川·格拉西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亚从此成为一个迷人又充满悲剧色彩的历史人物。</w:t>
      </w:r>
    </w:p>
    <w:p w:rsidR="00165971" w:rsidRPr="00CB7560" w:rsidRDefault="00165971" w:rsidP="0016597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65971" w:rsidRPr="00CB7560" w:rsidRDefault="00165971" w:rsidP="0016597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>
        <w:rPr/>
        <w:t>胜龙寺城公园</w:t>
      </w:r>
    </w:p>
    <w:p w:rsidR="00165971" w:rsidRPr="00CB7560" w:rsidRDefault="00165971" w:rsidP="00165971">
      <w:pPr>
        <w:ind w:firstLineChars="200" w:firstLine="440"/>
        <w:jc w:val="both"/>
        <w:rPr>
          <w:rFonts w:eastAsia="思源黑体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建于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世纪的胜龙寺城如今只留下北门断断续续的石垣城墙、土垒和部分护城河。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1992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年，此地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被辟为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公园，管理楼的外观酷似天守阁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环绕公园的新护城河旁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，春天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时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成排的红杜鹃盛开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城墙内有锦鲤池、樱花树、枫树、小竹林，还有胜龙寺城曾经的主人、著名的细川忠兴和格拉西亚夫妇的塑像。管理楼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楼设有展示室，里面陈列着当年城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的图纸、记载重要事件的图解年表以及一些出土文物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。来访者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还可观看介绍细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川·格拉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西亚生平的录像（有英文字幕）。每年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月的第二个周日，这里都要举行热闹的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长冈京格拉西亚祭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，再现细川忠兴和细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川·格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拉西亚前往胜龙寺城的婚礼仪仗。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71"/>
    <w:rsid w:val="0016597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04F00-729D-42E5-8616-6DEFDF0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5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5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59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5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5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5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5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5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5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