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4B9" w:rsidRPr="003E6C9C" w:rsidRDefault="003324B9" w:rsidP="003324B9">
      <w:pPr>
        <w:wordWrap w:val="0"/>
        <w:spacing w:before="75" w:after="75"/>
        <w:ind w:right="74"/>
        <w:rPr>
          <w:rFonts w:ascii="Meiryo UI" w:eastAsia="Meiryo UI" w:hAnsi="Meiryo UI"/>
          <w:b/>
          <w:bCs/>
          <w:sz w:val="21"/>
          <w:szCs w:val="21"/>
        </w:rPr>
      </w:pPr>
      <w:r>
        <w:rPr>
          <w:b/>
        </w:rPr>
        <w:t>게라의 선별과 등급 구분</w:t>
      </w:r>
    </w:p>
    <w:p w:rsidR="003324B9" w:rsidRPr="003E6C9C" w:rsidRDefault="003324B9" w:rsidP="003324B9">
      <w:pPr>
        <w:wordWrap w:val="0"/>
        <w:spacing w:before="75" w:after="75"/>
        <w:ind w:right="74"/>
        <w:rPr>
          <w:rFonts w:ascii="Meiryo UI" w:eastAsia="Meiryo UI" w:hAnsi="Meiryo UI"/>
          <w:sz w:val="21"/>
          <w:szCs w:val="21"/>
        </w:rPr>
      </w:pPr>
      <w:r/>
    </w:p>
    <w:p w:rsidR="003324B9" w:rsidRPr="003E6C9C" w:rsidRDefault="003324B9" w:rsidP="003324B9">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게라를 부수어 품질별로 분류하는 작업은 매우 고된 작업입니다. 냉각된 게라를 다른 작업장으로 옮기고, 그곳에서 드롭해머를 이용해 두들겨 부수는 작업을 합니다. 과거 제철소에서는 물레방아로 망치를 들어올렸는데, 닛토호 다타라에서는 전동식을 사용하고 있습니다. 이러한 공정을 더 작은 드롭해머로 반복하면 작업원 혼자서도 다룰 수 있는 크기의 덩어리가 됩니다. 이 단계에서 덩어리를 품질별로 선별합니다. 품질은 탄소 함유량과 단면의 상태에 따라 결정됩니다.</w:t>
      </w:r>
    </w:p>
    <w:p w:rsidR="003324B9" w:rsidRPr="003E6C9C" w:rsidRDefault="003324B9" w:rsidP="003324B9">
      <w:pPr>
        <w:wordWrap w:val="0"/>
        <w:spacing w:before="75" w:after="75"/>
        <w:ind w:right="74"/>
        <w:rPr>
          <w:rFonts w:ascii="Meiryo UI" w:eastAsia="Meiryo UI" w:hAnsi="Meiryo UI"/>
          <w:sz w:val="21"/>
          <w:szCs w:val="21"/>
        </w:rPr>
      </w:pPr>
    </w:p>
    <w:p w:rsidR="003324B9" w:rsidRPr="003E6C9C" w:rsidRDefault="003324B9" w:rsidP="003324B9">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닛토호 다타라의 사명은 바로 일본도의 재료로서 필수적인 옥강(玉鋼, 다마하가네)을 생산하는 것입니다. 단단함과 유연함을 겸비한 옥강은 일본 전국에 있는 일본도 장인들에게 귀중한 소재입니다. 옥강은 탄소 함유량과 파단면(금속 단면 상태)에 따라 등급이 결정됩니다. 파단면의 차이는 패널에 있는 현미경의 이미지를 비교해보면 알 수 있습니다. 3등급(왼쪽에서 3번째 이미지)의 파단면이 가장 거칠고 흰색 선이 들어간 것을 확인할 수 있습니다. 이러한 선은 2등급(2번째 이미지)이나 1등급(1번째 이미지)에서는 찾아볼 수 없습니다.</w:t>
      </w:r>
    </w:p>
    <w:p w:rsidR="003324B9" w:rsidRPr="003E6C9C" w:rsidRDefault="003324B9" w:rsidP="003324B9">
      <w:pPr>
        <w:wordWrap w:val="0"/>
        <w:spacing w:before="75" w:after="75"/>
        <w:ind w:right="74"/>
        <w:rPr>
          <w:rFonts w:ascii="Meiryo UI" w:eastAsia="Meiryo UI" w:hAnsi="Meiryo UI"/>
          <w:sz w:val="21"/>
          <w:szCs w:val="21"/>
        </w:rPr>
      </w:pPr>
    </w:p>
    <w:p w:rsidR="003324B9" w:rsidRPr="003E6C9C" w:rsidRDefault="003324B9" w:rsidP="003324B9">
      <w:pPr>
        <w:wordWrap w:val="0"/>
        <w:spacing w:before="75" w:after="75"/>
        <w:ind w:right="74"/>
        <w:rPr>
          <w:rFonts w:ascii="Meiryo UI" w:eastAsia="Meiryo UI" w:hAnsi="Meiryo UI"/>
          <w:b/>
          <w:bCs/>
          <w:sz w:val="21"/>
          <w:szCs w:val="21"/>
        </w:rPr>
      </w:pPr>
      <w:r w:rsidRPr="003E6C9C">
        <w:rPr>
          <w:rFonts w:ascii="Batang" w:eastAsia="Batang" w:hAnsi="Batang" w:cs="Batang"/>
          <w:b/>
          <w:sz w:val="21"/>
          <w:lang w:val="ko-KR" w:bidi="ko-KR"/>
        </w:rPr>
        <w:t>옥강의 등급</w:t>
      </w:r>
    </w:p>
    <w:tbl>
      <w:tblPr>
        <w:tblStyle w:val="aa"/>
        <w:tblW w:w="0" w:type="auto"/>
        <w:tblLook w:val="04A0" w:firstRow="1" w:lastRow="0" w:firstColumn="1" w:lastColumn="0" w:noHBand="0" w:noVBand="1"/>
      </w:tblPr>
      <w:tblGrid>
        <w:gridCol w:w="2831"/>
        <w:gridCol w:w="2831"/>
        <w:gridCol w:w="2832"/>
      </w:tblGrid>
      <w:tr w:rsidR="003324B9" w:rsidRPr="003E6C9C" w:rsidTr="006C37D5">
        <w:tc>
          <w:tcPr>
            <w:tcW w:w="2831" w:type="dxa"/>
          </w:tcPr>
          <w:p w:rsidR="003324B9" w:rsidRPr="003E6C9C" w:rsidRDefault="003324B9" w:rsidP="00D60382">
            <w:pPr>
              <w:wordWrap w:val="0"/>
              <w:spacing w:line="0" w:lineRule="atLeast"/>
              <w:rPr>
                <w:rFonts w:ascii="Meiryo UI" w:eastAsia="Meiryo UI" w:hAnsi="Meiryo UI"/>
                <w:sz w:val="21"/>
                <w:szCs w:val="21"/>
              </w:rPr>
            </w:pPr>
          </w:p>
        </w:tc>
        <w:tc>
          <w:tcPr>
            <w:tcW w:w="2831" w:type="dxa"/>
            <w:vAlign w:val="center"/>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b/>
                <w:sz w:val="21"/>
                <w:lang w:val="ko-KR" w:bidi="ko-KR"/>
              </w:rPr>
              <w:t>탄소</w:t>
            </w:r>
          </w:p>
        </w:tc>
        <w:tc>
          <w:tcPr>
            <w:tcW w:w="2832" w:type="dxa"/>
            <w:vAlign w:val="center"/>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b/>
                <w:sz w:val="21"/>
                <w:lang w:val="ko-KR" w:bidi="ko-KR"/>
              </w:rPr>
              <w:t>파단면</w:t>
            </w:r>
          </w:p>
        </w:tc>
      </w:tr>
      <w:tr w:rsidR="003324B9" w:rsidRPr="003E6C9C" w:rsidTr="006C37D5">
        <w:tc>
          <w:tcPr>
            <w:tcW w:w="2831" w:type="dxa"/>
          </w:tcPr>
          <w:p w:rsidR="003324B9" w:rsidRPr="003E6C9C" w:rsidRDefault="003324B9" w:rsidP="00D60382">
            <w:pPr>
              <w:wordWrap w:val="0"/>
              <w:spacing w:line="0" w:lineRule="atLeast"/>
              <w:rPr>
                <w:rFonts w:ascii="Meiryo UI" w:eastAsia="Meiryo UI" w:hAnsi="Meiryo UI"/>
                <w:strike/>
                <w:sz w:val="21"/>
                <w:szCs w:val="21"/>
              </w:rPr>
            </w:pPr>
            <w:r w:rsidRPr="003E6C9C">
              <w:rPr>
                <w:rFonts w:ascii="Batang" w:eastAsia="Batang" w:hAnsi="Batang" w:cs="Batang"/>
                <w:sz w:val="21"/>
                <w:lang w:val="ko-KR" w:bidi="ko-KR"/>
              </w:rPr>
              <w:t>1등급</w:t>
            </w:r>
          </w:p>
        </w:tc>
        <w:tc>
          <w:tcPr>
            <w:tcW w:w="2831" w:type="dxa"/>
            <w:vAlign w:val="center"/>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sz w:val="21"/>
                <w:lang w:val="ko-KR" w:bidi="ko-KR"/>
              </w:rPr>
              <w:t>약 1.2%</w:t>
            </w:r>
          </w:p>
        </w:tc>
        <w:tc>
          <w:tcPr>
            <w:tcW w:w="2832" w:type="dxa"/>
            <w:vAlign w:val="center"/>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sz w:val="21"/>
                <w:shd w:val="clear" w:color="auto" w:fill="FFFFFF"/>
                <w:lang w:val="ko-KR" w:bidi="ko-KR"/>
              </w:rPr>
              <w:t>균질</w:t>
            </w:r>
          </w:p>
        </w:tc>
      </w:tr>
      <w:tr w:rsidR="003324B9" w:rsidRPr="003E6C9C" w:rsidTr="006C37D5">
        <w:tc>
          <w:tcPr>
            <w:tcW w:w="2831" w:type="dxa"/>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sz w:val="21"/>
                <w:lang w:val="ko-KR" w:bidi="ko-KR"/>
              </w:rPr>
              <w:t>2등급</w:t>
            </w:r>
          </w:p>
        </w:tc>
        <w:tc>
          <w:tcPr>
            <w:tcW w:w="2831" w:type="dxa"/>
            <w:vAlign w:val="center"/>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sz w:val="21"/>
                <w:lang w:val="ko-KR" w:bidi="ko-KR"/>
              </w:rPr>
              <w:t>0.8~1.5%</w:t>
            </w:r>
          </w:p>
        </w:tc>
        <w:tc>
          <w:tcPr>
            <w:tcW w:w="2832" w:type="dxa"/>
            <w:vAlign w:val="center"/>
          </w:tcPr>
          <w:p w:rsidR="003324B9" w:rsidRPr="003E6C9C" w:rsidRDefault="003324B9" w:rsidP="00D60382">
            <w:pPr>
              <w:wordWrap w:val="0"/>
              <w:spacing w:line="0" w:lineRule="atLeast"/>
              <w:rPr>
                <w:rFonts w:ascii="Meiryo UI" w:eastAsia="Meiryo UI" w:hAnsi="Meiryo UI"/>
                <w:strike/>
                <w:sz w:val="21"/>
                <w:szCs w:val="21"/>
              </w:rPr>
            </w:pPr>
            <w:r w:rsidRPr="003E6C9C">
              <w:rPr>
                <w:rFonts w:ascii="Batang" w:eastAsia="Batang" w:hAnsi="Batang" w:cs="Batang"/>
                <w:sz w:val="21"/>
                <w:shd w:val="clear" w:color="auto" w:fill="FFFFFF"/>
                <w:lang w:val="ko-KR" w:bidi="ko-KR"/>
              </w:rPr>
              <w:t>약간 거침</w:t>
            </w:r>
          </w:p>
        </w:tc>
      </w:tr>
      <w:tr w:rsidR="003324B9" w:rsidRPr="003E6C9C" w:rsidTr="006C37D5">
        <w:tc>
          <w:tcPr>
            <w:tcW w:w="2831" w:type="dxa"/>
          </w:tcPr>
          <w:p w:rsidR="003324B9" w:rsidRPr="003E6C9C" w:rsidRDefault="003324B9" w:rsidP="00D60382">
            <w:pPr>
              <w:wordWrap w:val="0"/>
              <w:spacing w:line="0" w:lineRule="atLeast"/>
              <w:rPr>
                <w:rFonts w:ascii="Meiryo UI" w:eastAsia="Meiryo UI" w:hAnsi="Meiryo UI"/>
                <w:strike/>
                <w:sz w:val="21"/>
                <w:szCs w:val="21"/>
              </w:rPr>
            </w:pPr>
            <w:r w:rsidRPr="003E6C9C">
              <w:rPr>
                <w:rFonts w:ascii="Batang" w:eastAsia="Batang" w:hAnsi="Batang" w:cs="Batang"/>
                <w:sz w:val="21"/>
                <w:lang w:val="ko-KR" w:bidi="ko-KR"/>
              </w:rPr>
              <w:t>3등급</w:t>
            </w:r>
          </w:p>
        </w:tc>
        <w:tc>
          <w:tcPr>
            <w:tcW w:w="2831" w:type="dxa"/>
            <w:vAlign w:val="center"/>
          </w:tcPr>
          <w:p w:rsidR="003324B9" w:rsidRPr="003E6C9C" w:rsidRDefault="003324B9" w:rsidP="00D60382">
            <w:pPr>
              <w:wordWrap w:val="0"/>
              <w:spacing w:line="0" w:lineRule="atLeast"/>
              <w:rPr>
                <w:rFonts w:ascii="Meiryo UI" w:eastAsia="Meiryo UI" w:hAnsi="Meiryo UI"/>
                <w:sz w:val="21"/>
                <w:szCs w:val="21"/>
              </w:rPr>
            </w:pPr>
            <w:r w:rsidRPr="003E6C9C">
              <w:rPr>
                <w:rFonts w:ascii="Batang" w:eastAsia="Batang" w:hAnsi="Batang" w:cs="Batang"/>
                <w:sz w:val="21"/>
                <w:lang w:val="ko-KR" w:bidi="ko-KR"/>
              </w:rPr>
              <w:t>0.2~1.0%</w:t>
            </w:r>
          </w:p>
        </w:tc>
        <w:tc>
          <w:tcPr>
            <w:tcW w:w="2832" w:type="dxa"/>
            <w:vAlign w:val="center"/>
          </w:tcPr>
          <w:p w:rsidR="003324B9" w:rsidRPr="003E6C9C" w:rsidRDefault="003324B9" w:rsidP="00D60382">
            <w:pPr>
              <w:wordWrap w:val="0"/>
              <w:spacing w:line="0" w:lineRule="atLeast"/>
              <w:rPr>
                <w:rFonts w:ascii="Meiryo UI" w:eastAsia="Meiryo UI" w:hAnsi="Meiryo UI" w:cs="Arial"/>
                <w:strike/>
                <w:sz w:val="21"/>
                <w:szCs w:val="21"/>
                <w:shd w:val="clear" w:color="auto" w:fill="FFFFFF"/>
              </w:rPr>
            </w:pPr>
            <w:r w:rsidRPr="003E6C9C">
              <w:rPr>
                <w:rFonts w:ascii="Batang" w:eastAsia="Batang" w:hAnsi="Batang" w:cs="Batang"/>
                <w:sz w:val="21"/>
                <w:shd w:val="clear" w:color="auto" w:fill="FFFFFF"/>
                <w:lang w:val="ko-KR" w:bidi="ko-KR"/>
              </w:rPr>
              <w:t>거침</w:t>
            </w:r>
          </w:p>
        </w:tc>
      </w:tr>
    </w:tbl>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B9"/>
    <w:rsid w:val="001A5971"/>
    <w:rsid w:val="003324B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1D43EB-D477-4197-8E5D-54EAB7C1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4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24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24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24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24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24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24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24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24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24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24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24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24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24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24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24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24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24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2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2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2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4B9"/>
    <w:pPr>
      <w:spacing w:before="160"/>
      <w:jc w:val="center"/>
    </w:pPr>
    <w:rPr>
      <w:i/>
      <w:iCs/>
      <w:color w:val="404040" w:themeColor="text1" w:themeTint="BF"/>
    </w:rPr>
  </w:style>
  <w:style w:type="character" w:customStyle="1" w:styleId="a8">
    <w:name w:val="引用文 (文字)"/>
    <w:basedOn w:val="a0"/>
    <w:link w:val="a7"/>
    <w:uiPriority w:val="29"/>
    <w:rsid w:val="003324B9"/>
    <w:rPr>
      <w:i/>
      <w:iCs/>
      <w:color w:val="404040" w:themeColor="text1" w:themeTint="BF"/>
    </w:rPr>
  </w:style>
  <w:style w:type="paragraph" w:styleId="a9">
    <w:name w:val="List Paragraph"/>
    <w:basedOn w:val="a"/>
    <w:uiPriority w:val="34"/>
    <w:qFormat/>
    <w:rsid w:val="003324B9"/>
    <w:pPr>
      <w:ind w:left="720"/>
      <w:contextualSpacing/>
    </w:pPr>
  </w:style>
  <w:style w:type="character" w:styleId="21">
    <w:name w:val="Intense Emphasis"/>
    <w:basedOn w:val="a0"/>
    <w:uiPriority w:val="21"/>
    <w:qFormat/>
    <w:rsid w:val="003324B9"/>
    <w:rPr>
      <w:i/>
      <w:iCs/>
      <w:color w:val="0F4761" w:themeColor="accent1" w:themeShade="BF"/>
    </w:rPr>
  </w:style>
  <w:style w:type="paragraph" w:styleId="22">
    <w:name w:val="Intense Quote"/>
    <w:basedOn w:val="a"/>
    <w:next w:val="a"/>
    <w:link w:val="23"/>
    <w:uiPriority w:val="30"/>
    <w:qFormat/>
    <w:rsid w:val="00332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24B9"/>
    <w:rPr>
      <w:i/>
      <w:iCs/>
      <w:color w:val="0F4761" w:themeColor="accent1" w:themeShade="BF"/>
    </w:rPr>
  </w:style>
  <w:style w:type="character" w:styleId="24">
    <w:name w:val="Intense Reference"/>
    <w:basedOn w:val="a0"/>
    <w:uiPriority w:val="32"/>
    <w:qFormat/>
    <w:rsid w:val="003324B9"/>
    <w:rPr>
      <w:b/>
      <w:bCs/>
      <w:smallCaps/>
      <w:color w:val="0F4761" w:themeColor="accent1" w:themeShade="BF"/>
      <w:spacing w:val="5"/>
    </w:rPr>
  </w:style>
  <w:style w:type="table" w:styleId="aa">
    <w:name w:val="Table Grid"/>
    <w:basedOn w:val="a1"/>
    <w:uiPriority w:val="39"/>
    <w:rsid w:val="003324B9"/>
    <w:pPr>
      <w:spacing w:after="0" w:line="240" w:lineRule="auto"/>
    </w:pPr>
    <w:rPr>
      <w:rFonts w:ascii="Times New Roman" w:hAnsi="Times New Roman" w:cs="Times New Roman"/>
      <w:kern w:val="0"/>
      <w:sz w:val="24"/>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2025-08-29T16:32:00Z</dcterms:created>
  <dcterms:modified xsi:type="dcterms:W3CDTF">2025-08-29T16:32:00Z</dcterms:modified>
</cp:coreProperties>
</file>