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5593" w:rsidRPr="003E6C9C" w:rsidRDefault="000D5593" w:rsidP="000D5593">
      <w:pPr>
        <w:wordWrap w:val="0"/>
        <w:spacing w:before="75" w:after="75"/>
        <w:ind w:right="74"/>
        <w:rPr>
          <w:rFonts w:ascii="Meiryo UI" w:eastAsia="Meiryo UI" w:hAnsi="Meiryo UI"/>
          <w:b/>
          <w:bCs/>
          <w:sz w:val="21"/>
          <w:szCs w:val="21"/>
        </w:rPr>
      </w:pPr>
      <w:r>
        <w:rPr>
          <w:b/>
        </w:rPr>
        <w:t>다타라 용광로</w:t>
      </w:r>
    </w:p>
    <w:p w:rsidR="000D5593" w:rsidRPr="003E6C9C" w:rsidRDefault="000D5593" w:rsidP="000D5593">
      <w:pPr>
        <w:wordWrap w:val="0"/>
        <w:spacing w:before="75" w:after="75"/>
        <w:ind w:right="74"/>
        <w:rPr>
          <w:rFonts w:ascii="Meiryo UI" w:eastAsia="Meiryo UI" w:hAnsi="Meiryo UI"/>
          <w:sz w:val="21"/>
          <w:szCs w:val="21"/>
        </w:rPr>
      </w:pPr>
      <w:r/>
    </w:p>
    <w:p w:rsidR="000D5593" w:rsidRPr="003E6C9C" w:rsidRDefault="000D5593" w:rsidP="000D5593">
      <w:pPr>
        <w:wordWrap w:val="0"/>
        <w:spacing w:before="75" w:after="75"/>
        <w:ind w:right="74" w:firstLineChars="100" w:firstLine="210"/>
        <w:rPr>
          <w:rFonts w:ascii="Meiryo UI" w:eastAsia="Meiryo UI" w:hAnsi="Meiryo UI"/>
          <w:sz w:val="21"/>
          <w:szCs w:val="21"/>
        </w:rPr>
      </w:pPr>
      <w:r w:rsidRPr="003E6C9C">
        <w:rPr>
          <w:rFonts w:ascii="Batang" w:eastAsia="Batang" w:hAnsi="Batang" w:cs="Batang"/>
          <w:sz w:val="21"/>
          <w:lang w:val="ko-KR" w:bidi="ko-KR"/>
        </w:rPr>
        <w:t>이곳에 재현된 다타라 용광로는 20세기 초의 제련 상황을 보여줍니다. 모형 중앙에는 직사각형의 흙으로 만든 용광로가 있으며, 좌우에 있는 풀무는 대나무관으로 연결되어 있습니다.</w:t>
      </w:r>
    </w:p>
    <w:p w:rsidR="000D5593" w:rsidRPr="003E6C9C" w:rsidRDefault="000D5593" w:rsidP="000D5593">
      <w:pPr>
        <w:wordWrap w:val="0"/>
        <w:spacing w:before="75" w:after="75"/>
        <w:ind w:right="74"/>
        <w:rPr>
          <w:rFonts w:ascii="Meiryo UI" w:eastAsia="Meiryo UI" w:hAnsi="Meiryo UI"/>
          <w:sz w:val="21"/>
          <w:szCs w:val="21"/>
        </w:rPr>
      </w:pPr>
    </w:p>
    <w:p w:rsidR="000D5593" w:rsidRPr="003E6C9C" w:rsidRDefault="000D5593" w:rsidP="000D5593">
      <w:pPr>
        <w:wordWrap w:val="0"/>
        <w:spacing w:before="75" w:after="75"/>
        <w:ind w:right="74" w:firstLineChars="100" w:firstLine="210"/>
        <w:rPr>
          <w:rFonts w:ascii="Meiryo UI" w:eastAsia="Meiryo UI" w:hAnsi="Meiryo UI"/>
          <w:sz w:val="21"/>
          <w:szCs w:val="21"/>
        </w:rPr>
      </w:pPr>
      <w:r w:rsidRPr="003E6C9C">
        <w:rPr>
          <w:rFonts w:ascii="Batang" w:eastAsia="Batang" w:hAnsi="Batang" w:cs="Batang"/>
          <w:sz w:val="21"/>
          <w:lang w:val="ko-KR" w:bidi="ko-KR"/>
        </w:rPr>
        <w:t>이 모형은 수일에 걸친 제련 과정의 후반부를 보여주고 있습니다. 이 단계에 접어들면 표면이 울퉁불퉁한 철과 강철 덩어리(게라)가 형성됩니다. 용광로 바닥에서 반짝이는 회색 덩어리가 바로 게라</w:t>
      </w:r>
      <w:r w:rsidRPr="003E6C9C">
        <w:rPr>
          <w:rFonts w:ascii="Batang" w:eastAsia="Batang" w:hAnsi="Batang" w:cs="Batang" w:hint="eastAsia"/>
          <w:sz w:val="21"/>
          <w:lang w:val="ko-KR" w:bidi="ko-KR"/>
        </w:rPr>
        <w:t>입니다</w:t>
      </w:r>
      <w:r w:rsidRPr="003E6C9C">
        <w:rPr>
          <w:rFonts w:ascii="Batang" w:eastAsia="Batang" w:hAnsi="Batang" w:cs="Batang"/>
          <w:sz w:val="21"/>
          <w:lang w:val="ko-KR" w:bidi="ko-KR"/>
        </w:rPr>
        <w:t>. 초반에는 두꺼웠던 점토벽이 대부분 녹아내리고, 녹아내린 철 속 불순물과 반응하여 ‘슬래그(노로)’라고 불리는 폐기물을 형성합니다. 슬래그는 제련 과정에서 용광로 바닥에 있는 구멍을 통해 천천히 흘러나오는데, 이 모습은 모형의 반대쪽에서 확인할 수 있습니다.</w:t>
      </w:r>
    </w:p>
    <w:p w:rsidR="000D5593" w:rsidRPr="003E6C9C" w:rsidRDefault="000D5593" w:rsidP="000D5593">
      <w:pPr>
        <w:wordWrap w:val="0"/>
        <w:spacing w:before="75" w:after="75"/>
        <w:ind w:right="74"/>
        <w:rPr>
          <w:rFonts w:ascii="Meiryo UI" w:eastAsia="Meiryo UI" w:hAnsi="Meiryo UI"/>
          <w:sz w:val="21"/>
          <w:szCs w:val="21"/>
        </w:rPr>
      </w:pPr>
    </w:p>
    <w:p w:rsidR="000D5593" w:rsidRPr="003E6C9C" w:rsidRDefault="000D5593" w:rsidP="000D5593">
      <w:pPr>
        <w:wordWrap w:val="0"/>
        <w:spacing w:before="75" w:after="75"/>
        <w:ind w:right="74" w:firstLineChars="100" w:firstLine="210"/>
        <w:rPr>
          <w:rFonts w:ascii="Meiryo UI" w:eastAsia="Meiryo UI" w:hAnsi="Meiryo UI"/>
          <w:sz w:val="21"/>
          <w:szCs w:val="21"/>
        </w:rPr>
      </w:pPr>
      <w:r w:rsidRPr="003E6C9C">
        <w:rPr>
          <w:rFonts w:ascii="Batang" w:eastAsia="Batang" w:hAnsi="Batang" w:cs="Batang"/>
          <w:sz w:val="21"/>
          <w:lang w:val="ko-KR" w:bidi="ko-KR"/>
        </w:rPr>
        <w:t>일반적으로는 인력으로 움직이는 풀무가 더 잘 알려져 있지만, 이 모형은 인력 대신 물레방아를 동력으로 사용하는 풀무로, 지금 닛토호 다타라에서 사용되는 것과 상당히 닮아 있습니다. 기계로 움직이는 풀무의 가동 부분은 다른 건물에 설치되어 있으며, 공기는 관을 통해 다카도노(작업장)로 보내집니다.</w:t>
      </w:r>
    </w:p>
    <w:p w:rsidR="000D5593" w:rsidRPr="003E6C9C" w:rsidRDefault="000D5593" w:rsidP="000D5593">
      <w:pPr>
        <w:wordWrap w:val="0"/>
        <w:spacing w:before="75" w:after="75"/>
        <w:ind w:right="74"/>
        <w:rPr>
          <w:rFonts w:ascii="Meiryo UI" w:eastAsia="Meiryo UI" w:hAnsi="Meiryo UI"/>
          <w:sz w:val="21"/>
          <w:szCs w:val="21"/>
        </w:rPr>
      </w:pPr>
    </w:p>
    <w:p w:rsidR="000D5593" w:rsidRPr="003E6C9C" w:rsidRDefault="000D5593" w:rsidP="000D5593">
      <w:pPr>
        <w:wordWrap w:val="0"/>
        <w:spacing w:before="75" w:after="75"/>
        <w:ind w:right="74" w:firstLineChars="100" w:firstLine="210"/>
        <w:rPr>
          <w:rFonts w:ascii="Meiryo UI" w:eastAsia="Meiryo UI" w:hAnsi="Meiryo UI"/>
          <w:sz w:val="21"/>
          <w:szCs w:val="21"/>
        </w:rPr>
      </w:pPr>
      <w:r w:rsidRPr="003E6C9C">
        <w:rPr>
          <w:rFonts w:ascii="Batang" w:eastAsia="Batang" w:hAnsi="Batang" w:cs="Batang"/>
          <w:sz w:val="21"/>
          <w:lang w:val="ko-KR" w:bidi="ko-KR"/>
        </w:rPr>
        <w:t>제련의 성공 여부는 용광로 내부에서 화학 반응이 얼</w:t>
      </w:r>
      <w:r>
        <w:rPr>
          <w:rFonts w:ascii="Batang" w:eastAsia="Batang" w:hAnsi="Batang" w:cs="Batang" w:hint="eastAsia"/>
          <w:sz w:val="21"/>
          <w:lang w:val="ko-KR" w:bidi="ko-KR"/>
        </w:rPr>
        <w:t>마</w:t>
      </w:r>
      <w:r w:rsidRPr="003E6C9C">
        <w:rPr>
          <w:rFonts w:ascii="Batang" w:eastAsia="Batang" w:hAnsi="Batang" w:cs="Batang"/>
          <w:sz w:val="21"/>
          <w:lang w:val="ko-KR" w:bidi="ko-KR"/>
        </w:rPr>
        <w:t>큼 잘 일어나는지에 달려 있는데, 이를 위해서는 양질의 점토와 불을 계속해서 태우기 위한 안정적인 산소 흐름이 필요했습니다. 이러한 이유에서 다타라 제철에서 일하는 사람들 사이에는 다음과 같은 격언이 있었습니다. ‘첫째로는 좋은 점토. 둘째로는 좋은 공기. 셋째로는 좋은 무라게(현장 감독).’</w:t>
      </w:r>
    </w:p>
    <w:p w:rsidR="000D5593" w:rsidRPr="003E6C9C" w:rsidRDefault="000D5593" w:rsidP="000D5593">
      <w:pPr>
        <w:wordWrap w:val="0"/>
        <w:spacing w:before="75" w:after="75"/>
        <w:ind w:right="74"/>
        <w:rPr>
          <w:rFonts w:ascii="Meiryo UI" w:eastAsia="Meiryo UI" w:hAnsi="Meiryo UI"/>
          <w:sz w:val="21"/>
          <w:szCs w:val="21"/>
        </w:rPr>
      </w:pPr>
    </w:p>
    <w:p w:rsidR="000D5593" w:rsidRPr="003E6C9C" w:rsidRDefault="000D5593" w:rsidP="000D5593">
      <w:pPr>
        <w:wordWrap w:val="0"/>
        <w:spacing w:before="75" w:after="75"/>
        <w:ind w:right="74"/>
        <w:rPr>
          <w:rFonts w:ascii="Meiryo UI" w:eastAsia="Meiryo UI" w:hAnsi="Meiryo UI"/>
          <w:sz w:val="21"/>
          <w:szCs w:val="21"/>
        </w:rPr>
      </w:pPr>
      <w:r w:rsidRPr="003E6C9C">
        <w:rPr>
          <w:rFonts w:ascii="Batang" w:eastAsia="Batang" w:hAnsi="Batang" w:cs="Batang"/>
          <w:sz w:val="21"/>
          <w:lang w:val="ko-KR" w:bidi="ko-KR"/>
        </w:rPr>
        <w:t xml:space="preserve">(용광로의 지하 구조는 계단 아래 간판에서 설명하고 있습니다) </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593"/>
    <w:rsid w:val="000D5593"/>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7631EDA-1B72-4FC1-8EB3-D00D52E6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559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D559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D559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D559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D559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D559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D559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D559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D559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559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559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559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D559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559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559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559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559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559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55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D55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55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D55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5593"/>
    <w:pPr>
      <w:spacing w:before="160"/>
      <w:jc w:val="center"/>
    </w:pPr>
    <w:rPr>
      <w:i/>
      <w:iCs/>
      <w:color w:val="404040" w:themeColor="text1" w:themeTint="BF"/>
    </w:rPr>
  </w:style>
  <w:style w:type="character" w:customStyle="1" w:styleId="a8">
    <w:name w:val="引用文 (文字)"/>
    <w:basedOn w:val="a0"/>
    <w:link w:val="a7"/>
    <w:uiPriority w:val="29"/>
    <w:rsid w:val="000D5593"/>
    <w:rPr>
      <w:i/>
      <w:iCs/>
      <w:color w:val="404040" w:themeColor="text1" w:themeTint="BF"/>
    </w:rPr>
  </w:style>
  <w:style w:type="paragraph" w:styleId="a9">
    <w:name w:val="List Paragraph"/>
    <w:basedOn w:val="a"/>
    <w:uiPriority w:val="34"/>
    <w:qFormat/>
    <w:rsid w:val="000D5593"/>
    <w:pPr>
      <w:ind w:left="720"/>
      <w:contextualSpacing/>
    </w:pPr>
  </w:style>
  <w:style w:type="character" w:styleId="21">
    <w:name w:val="Intense Emphasis"/>
    <w:basedOn w:val="a0"/>
    <w:uiPriority w:val="21"/>
    <w:qFormat/>
    <w:rsid w:val="000D5593"/>
    <w:rPr>
      <w:i/>
      <w:iCs/>
      <w:color w:val="0F4761" w:themeColor="accent1" w:themeShade="BF"/>
    </w:rPr>
  </w:style>
  <w:style w:type="paragraph" w:styleId="22">
    <w:name w:val="Intense Quote"/>
    <w:basedOn w:val="a"/>
    <w:next w:val="a"/>
    <w:link w:val="23"/>
    <w:uiPriority w:val="30"/>
    <w:qFormat/>
    <w:rsid w:val="000D55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D5593"/>
    <w:rPr>
      <w:i/>
      <w:iCs/>
      <w:color w:val="0F4761" w:themeColor="accent1" w:themeShade="BF"/>
    </w:rPr>
  </w:style>
  <w:style w:type="character" w:styleId="24">
    <w:name w:val="Intense Reference"/>
    <w:basedOn w:val="a0"/>
    <w:uiPriority w:val="32"/>
    <w:qFormat/>
    <w:rsid w:val="000D55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2025-08-29T16:35:00Z</dcterms:created>
  <dcterms:modified xsi:type="dcterms:W3CDTF">2025-08-29T16:35:00Z</dcterms:modified>
</cp:coreProperties>
</file>