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4831" w:rsidRPr="00211F9E" w:rsidRDefault="00F94831" w:rsidP="00F94831">
      <w:pPr>
        <w:widowControl/>
        <w:spacing w:line="0" w:lineRule="atLeast"/>
        <w:rPr>
          <w:rFonts w:ascii="Times New Roman" w:eastAsia="Source Han Sans CN Normal" w:hAnsi="Times New Roman" w:cs="Times New Roman"/>
          <w:b/>
          <w:color w:val="000000" w:themeColor="text1"/>
          <w:kern w:val="0"/>
          <w:lang w:eastAsia="zh-CN"/>
        </w:rPr>
      </w:pPr>
      <w:r>
        <w:rPr>
          <w:b/>
        </w:rPr>
        <w:t>田能村竹田</w:t>
      </w:r>
    </w:p>
    <w:p/>
    <w:p w:rsidR="00F94831" w:rsidRPr="00211F9E" w:rsidRDefault="00F94831" w:rsidP="00F94831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田能村竹田</w:t>
      </w:r>
      <w:r w:rsidRPr="00211F9E">
        <w:rPr>
          <w:rFonts w:eastAsia="Source Han Sans CN Normal"/>
          <w:color w:val="000000" w:themeColor="text1"/>
          <w:lang w:eastAsia="zh-CN"/>
        </w:rPr>
        <w:t>(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1777-1835</w:t>
      </w:r>
      <w:r w:rsidRPr="00211F9E">
        <w:rPr>
          <w:rFonts w:eastAsia="Source Han Sans CN Normal"/>
          <w:color w:val="000000" w:themeColor="text1"/>
          <w:lang w:eastAsia="zh-CN"/>
        </w:rPr>
        <w:t>)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出生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于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现在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的竹田市一带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后来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成为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了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当时最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具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影响力的日本画家之一。他的作品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大多为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挂轴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画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，至今仍受到人们的追捧。</w:t>
      </w:r>
    </w:p>
    <w:p w:rsidR="00F94831" w:rsidRPr="00211F9E" w:rsidRDefault="00F94831" w:rsidP="00F94831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田能村竹田虽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出生于一个医生世家，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却因体弱而无法学医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于是，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他潜心研究中国诗歌和绘画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，对元末四大家中的黄公望、王蒙以及明朝的沈周最为欣赏。他在竹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田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地区的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学校教授儒学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直至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37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岁，然后开始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专注绘画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。他周游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全国，与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各地的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艺术家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们有着广泛的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交流。</w:t>
      </w:r>
    </w:p>
    <w:p w:rsidR="00F94831" w:rsidRPr="00211F9E" w:rsidRDefault="00F94831" w:rsidP="00F94831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田能村竹田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的绘画风格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属于“南画”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，作品由中国诗歌、书法和绘画三部分组成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，主要以挂轴画的形式出现在当时上流阶层客厅的床之间（日式壁龛）中，深受青睐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</w:p>
    <w:p w:rsidR="00F94831" w:rsidRPr="00211F9E" w:rsidRDefault="00F94831" w:rsidP="00F94831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田能村竹田的画作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笔触柔和细腻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在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各种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细节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表现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上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与众不同。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他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采用与描绘虚构风景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“南画”相近的手法，勾画与家乡竹田相似的景色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</w:p>
    <w:p w:rsidR="00F94831" w:rsidRPr="00211F9E" w:rsidRDefault="00F94831" w:rsidP="00F94831">
      <w:pPr>
        <w:widowControl/>
        <w:spacing w:line="0" w:lineRule="atLeast"/>
        <w:ind w:firstLineChars="200" w:firstLine="440"/>
        <w:rPr>
          <w:rFonts w:ascii="Times New Roman" w:eastAsia="Meiryo UI" w:hAnsi="Times New Roman" w:cs="Times New Roman"/>
          <w:color w:val="000000" w:themeColor="text1"/>
          <w:kern w:val="0"/>
          <w:lang w:eastAsia="zh-CN"/>
        </w:rPr>
      </w:pP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画风的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差异最终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引发了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一场新的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南画风潮，人们取丰后国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（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今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大分县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，“国”为日本旧行政区划，有别于“国家”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）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之名，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称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其为“丰后南画”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田能村竹田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将自己的理念传授给弟子，弟子们在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他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去世后进一步发展了这些理念。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在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20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世纪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30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年代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之前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丰后南画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一直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盛行不衰。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831"/>
    <w:rsid w:val="001A5971"/>
    <w:rsid w:val="00625A2B"/>
    <w:rsid w:val="00C41D39"/>
    <w:rsid w:val="00F9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793FF0-FD1A-40E3-AAF7-A4D30CB52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48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8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8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8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8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8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8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8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48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48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483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948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48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48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48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48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48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48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4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8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48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4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48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48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483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48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483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48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2025-08-29T16:13:00Z</dcterms:created>
  <dcterms:modified xsi:type="dcterms:W3CDTF">2025-08-29T16:13:00Z</dcterms:modified>
</cp:coreProperties>
</file>