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3F6" w:rsidRPr="004650EE" w:rsidRDefault="005743F6" w:rsidP="005743F6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常滑陶之森</w:t>
      </w:r>
    </w:p>
    <w:p/>
    <w:p w:rsidR="005743F6" w:rsidRPr="004650EE" w:rsidRDefault="005743F6" w:rsidP="005743F6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常滑被譽為「日本六大古窯」之一，不僅歷史最悠久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，且是當時規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模最大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的一處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作為傳統陶器的產區，其歷史可追溯至</w:t>
      </w:r>
      <w:r w:rsidRPr="004650EE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約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1000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多年前。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常滑陶之森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是一座文化場館，目的在於弘揚豐富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的製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陶傳統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文化、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展望未來。它由提供實用資訊的資料館、陶藝研究所，以及培養年輕陶瓷藝術家的工作室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構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成。</w:t>
      </w:r>
    </w:p>
    <w:p w:rsidR="005743F6" w:rsidRPr="004650EE" w:rsidRDefault="005743F6" w:rsidP="005743F6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場館展示了數世紀以來的常滑燒陶器精美作品，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每個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展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區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都用英語詳盡介紹了陶器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展品及其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製作工藝。</w:t>
      </w:r>
    </w:p>
    <w:p w:rsidR="005743F6" w:rsidRPr="004650EE" w:rsidRDefault="005743F6" w:rsidP="005743F6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常滑陶之森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位處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「陶器之路」步行街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B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線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上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，從常滑站步行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25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分鐘即可到達。</w:t>
      </w:r>
    </w:p>
    <w:p w:rsidR="005743F6" w:rsidRPr="004650EE" w:rsidRDefault="005743F6" w:rsidP="005743F6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743F6" w:rsidRPr="004650EE" w:rsidRDefault="005743F6" w:rsidP="005743F6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09:00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〜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</w:p>
    <w:p w:rsidR="005743F6" w:rsidRPr="004650EE" w:rsidRDefault="005743F6" w:rsidP="005743F6">
      <w:pPr>
        <w:jc w:val="both"/>
        <w:rPr>
          <w:rFonts w:eastAsia="SimSun"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休館日：每週一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4650EE">
        <w:rPr>
          <w:rFonts w:eastAsia="Source Han Sans CN Normal"/>
          <w:color w:val="000000" w:themeColor="text1"/>
          <w:szCs w:val="22"/>
          <w:lang w:eastAsia="zh-TW"/>
        </w:rPr>
        <w:t>如遇節日順延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、元旦假期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F6"/>
    <w:rsid w:val="001A5971"/>
    <w:rsid w:val="005743F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9F207-8868-4B97-9E09-E2D502A6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3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3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3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3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3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3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3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3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3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3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4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3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4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3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43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43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