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5FE7" w:rsidRPr="006E52AC" w:rsidRDefault="00035FE7" w:rsidP="00035FE7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关门海峡的潮汐</w:t>
      </w:r>
    </w:p>
    <w:p/>
    <w:p w:rsidR="00035FE7" w:rsidRPr="006E52AC" w:rsidRDefault="00035FE7" w:rsidP="00035F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关门海峡是一条全长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27.7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公里的航道，将本州岛和九州岛分隔开来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这里的水流复杂、湍急、瞬息万变。多种因素共同造就了这一复杂的水动力环境：海峡最浅处仅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米深，最窄处的早鞆濑户水道仅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650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米宽；潮水在涨潮时以高达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9.4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节（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17.4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/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小时）的速度穿过海峡，退潮时流速也达到了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节（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9.125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/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小时）左右。相比之下，从冲绳流向北海道的黑潮在流速最快时也只有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节（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5.475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/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小时）而已。</w:t>
      </w: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潮汐的方向变化</w:t>
      </w: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关门海峡的潮汐每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小时逆向流动一次，先向东，再向西，然后再向东。这种不寻常的现象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由海峡东面的周防滩和西面的响滩的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潮汐水位落差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造成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。涨潮时，东侧的平均水深上升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1.8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米，西侧上升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0.8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米，这导致海水从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高水位的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东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侧流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向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低水位的</w:t>
      </w:r>
      <w:r w:rsidRPr="006E52A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西</w:t>
      </w:r>
      <w:r w:rsidRPr="006E52AC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侧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。退潮时，东侧水位比平均水位低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米，西侧低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0.7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米，这让水流再次改变方向。</w:t>
      </w: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航海的挑战</w:t>
      </w: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关门海峡的洋流变化多端，即使对经验最为老道的领航员和船长而言，也是非常严峻的考验，只有掌握高超的航海技术，才能在这片水域航行。比如，在下关一侧的早鞆海峡，逆流航行的船只必须保持比流速快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节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7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.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408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公里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/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的速度才能顺利通过。</w:t>
      </w:r>
    </w:p>
    <w:p w:rsidR="00035FE7" w:rsidRPr="006E52AC" w:rsidRDefault="00035FE7" w:rsidP="00035FE7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尽管挑战连连，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现在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天最多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1000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艘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船只穿越海峡，驶往美国的超大型货轮也在其中。从下关驶往门司的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客运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渡轮在奋力穿过洋流的同时，</w:t>
      </w:r>
      <w:r w:rsidRPr="006E52A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</w:t>
      </w:r>
      <w:r w:rsidRPr="006E52A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须小心避开巨轮。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7"/>
    <w:rsid w:val="00035FE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8A96B-38C4-471B-8D60-8EE6E706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F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